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B4BA" w14:textId="77777777" w:rsidR="00401356" w:rsidRPr="009F3060" w:rsidRDefault="008319B4" w:rsidP="00BF5A86">
      <w:pPr>
        <w:pStyle w:val="Heading2"/>
        <w:numPr>
          <w:ilvl w:val="0"/>
          <w:numId w:val="3"/>
        </w:numPr>
        <w:tabs>
          <w:tab w:val="left" w:pos="-720"/>
          <w:tab w:val="left" w:pos="0"/>
        </w:tabs>
        <w:suppressAutoHyphens/>
        <w:spacing w:after="0"/>
        <w:rPr>
          <w:lang w:val="en-GB"/>
        </w:rPr>
      </w:pPr>
      <w:bookmarkStart w:id="0" w:name="_GoBack"/>
      <w:bookmarkEnd w:id="0"/>
      <w:r>
        <w:rPr>
          <w:lang w:val="en-GB"/>
        </w:rPr>
        <w:t>INTENT</w:t>
      </w:r>
      <w:r w:rsidR="001A09EA" w:rsidRPr="009F3060">
        <w:rPr>
          <w:lang w:val="en-GB"/>
        </w:rPr>
        <w:t>:</w:t>
      </w:r>
    </w:p>
    <w:p w14:paraId="4BD5201B" w14:textId="379D796F" w:rsidR="005B7797" w:rsidRPr="00575848" w:rsidRDefault="008319B4" w:rsidP="005B7797">
      <w:pPr>
        <w:pStyle w:val="Heading2"/>
        <w:numPr>
          <w:ilvl w:val="1"/>
          <w:numId w:val="3"/>
        </w:numPr>
        <w:tabs>
          <w:tab w:val="clear" w:pos="1140"/>
          <w:tab w:val="left" w:pos="-720"/>
          <w:tab w:val="left" w:pos="0"/>
          <w:tab w:val="num" w:pos="1260"/>
        </w:tabs>
        <w:suppressAutoHyphens/>
        <w:spacing w:after="0"/>
        <w:ind w:left="1260" w:hanging="540"/>
        <w:rPr>
          <w:b w:val="0"/>
        </w:rPr>
      </w:pPr>
      <w:r>
        <w:rPr>
          <w:b w:val="0"/>
        </w:rPr>
        <w:t>To p</w:t>
      </w:r>
      <w:r w:rsidRPr="009F3060">
        <w:rPr>
          <w:b w:val="0"/>
        </w:rPr>
        <w:t xml:space="preserve">rovide </w:t>
      </w:r>
      <w:r>
        <w:rPr>
          <w:b w:val="0"/>
        </w:rPr>
        <w:t xml:space="preserve">clinical practice and </w:t>
      </w:r>
      <w:r w:rsidRPr="009F3060">
        <w:rPr>
          <w:b w:val="0"/>
        </w:rPr>
        <w:t xml:space="preserve">operational guidance to </w:t>
      </w:r>
      <w:r>
        <w:rPr>
          <w:b w:val="0"/>
        </w:rPr>
        <w:t xml:space="preserve">clinical </w:t>
      </w:r>
      <w:r w:rsidR="008603E9">
        <w:rPr>
          <w:b w:val="0"/>
        </w:rPr>
        <w:t xml:space="preserve">care </w:t>
      </w:r>
      <w:r>
        <w:rPr>
          <w:b w:val="0"/>
        </w:rPr>
        <w:t>teams</w:t>
      </w:r>
      <w:r w:rsidRPr="009F3060">
        <w:rPr>
          <w:b w:val="0"/>
        </w:rPr>
        <w:t xml:space="preserve"> to ensure consistency in the </w:t>
      </w:r>
      <w:r w:rsidR="008603E9">
        <w:rPr>
          <w:b w:val="0"/>
        </w:rPr>
        <w:t xml:space="preserve">administration and </w:t>
      </w:r>
      <w:r>
        <w:rPr>
          <w:b w:val="0"/>
        </w:rPr>
        <w:t xml:space="preserve">monitoring of </w:t>
      </w:r>
      <w:r w:rsidR="00E1004D">
        <w:rPr>
          <w:b w:val="0"/>
        </w:rPr>
        <w:t>r</w:t>
      </w:r>
      <w:r>
        <w:rPr>
          <w:b w:val="0"/>
        </w:rPr>
        <w:t>ifa</w:t>
      </w:r>
      <w:r w:rsidR="008603E9">
        <w:rPr>
          <w:b w:val="0"/>
        </w:rPr>
        <w:t>pentine</w:t>
      </w:r>
      <w:r>
        <w:rPr>
          <w:b w:val="0"/>
        </w:rPr>
        <w:t xml:space="preserve"> </w:t>
      </w:r>
      <w:r w:rsidR="008603E9">
        <w:rPr>
          <w:b w:val="0"/>
        </w:rPr>
        <w:t xml:space="preserve">and INH </w:t>
      </w:r>
      <w:r>
        <w:rPr>
          <w:b w:val="0"/>
        </w:rPr>
        <w:t>for the treatment of Latent Tuberculosis I</w:t>
      </w:r>
      <w:r w:rsidRPr="009F3060">
        <w:rPr>
          <w:b w:val="0"/>
        </w:rPr>
        <w:t xml:space="preserve">nfection (LTBI) in </w:t>
      </w:r>
      <w:r>
        <w:rPr>
          <w:b w:val="0"/>
        </w:rPr>
        <w:t>adults</w:t>
      </w:r>
      <w:r w:rsidR="008603E9">
        <w:rPr>
          <w:b w:val="0"/>
        </w:rPr>
        <w:t xml:space="preserve"> and children</w:t>
      </w:r>
      <w:r w:rsidR="00972094">
        <w:rPr>
          <w:b w:val="0"/>
        </w:rPr>
        <w:t xml:space="preserve"> over 2 years old</w:t>
      </w:r>
      <w:r w:rsidRPr="009F3060">
        <w:rPr>
          <w:b w:val="0"/>
        </w:rPr>
        <w:t>.</w:t>
      </w:r>
    </w:p>
    <w:p w14:paraId="16D2FCD4" w14:textId="4BB60E27" w:rsidR="005F001F" w:rsidRDefault="005F001F" w:rsidP="005F001F">
      <w:pPr>
        <w:pStyle w:val="Heading2"/>
        <w:numPr>
          <w:ilvl w:val="1"/>
          <w:numId w:val="3"/>
        </w:numPr>
        <w:tabs>
          <w:tab w:val="clear" w:pos="1140"/>
          <w:tab w:val="left" w:pos="-720"/>
          <w:tab w:val="left" w:pos="0"/>
          <w:tab w:val="num" w:pos="1260"/>
        </w:tabs>
        <w:suppressAutoHyphens/>
        <w:spacing w:after="0"/>
        <w:ind w:left="1260" w:hanging="540"/>
        <w:rPr>
          <w:b w:val="0"/>
        </w:rPr>
      </w:pPr>
      <w:r>
        <w:rPr>
          <w:b w:val="0"/>
        </w:rPr>
        <w:t>To provide the minimum recommended clinical and laboratory monitoring needed to administer rifapentine and INH for the treatment of LTBI (via once weekly directly observed preventative therapy [DOPT]), as well as recommended action when rifapentine or INH toxicity is suspected or confirmed.</w:t>
      </w:r>
    </w:p>
    <w:p w14:paraId="2FC9D25F" w14:textId="2249C3BD" w:rsidR="005F001F" w:rsidRPr="005F001F" w:rsidRDefault="005F001F" w:rsidP="005F001F">
      <w:pPr>
        <w:pStyle w:val="Heading2"/>
        <w:numPr>
          <w:ilvl w:val="1"/>
          <w:numId w:val="3"/>
        </w:numPr>
        <w:tabs>
          <w:tab w:val="clear" w:pos="1140"/>
          <w:tab w:val="left" w:pos="-720"/>
          <w:tab w:val="left" w:pos="0"/>
          <w:tab w:val="num" w:pos="1260"/>
        </w:tabs>
        <w:suppressAutoHyphens/>
        <w:spacing w:after="0"/>
        <w:ind w:left="1260" w:hanging="540"/>
        <w:rPr>
          <w:b w:val="0"/>
        </w:rPr>
      </w:pPr>
      <w:r>
        <w:rPr>
          <w:b w:val="0"/>
        </w:rPr>
        <w:t>To provide the minimum dataset required for the monitoring and evaluation of rifapentine and INH use</w:t>
      </w:r>
      <w:r w:rsidR="008319B4">
        <w:rPr>
          <w:b w:val="0"/>
        </w:rPr>
        <w:t>.</w:t>
      </w:r>
    </w:p>
    <w:p w14:paraId="371D0D61" w14:textId="77777777" w:rsidR="008470D5" w:rsidRPr="0023141C" w:rsidRDefault="008470D5" w:rsidP="008319B4">
      <w:pPr>
        <w:pStyle w:val="Heading2"/>
        <w:tabs>
          <w:tab w:val="left" w:pos="-720"/>
          <w:tab w:val="left" w:pos="0"/>
        </w:tabs>
        <w:suppressAutoHyphens/>
        <w:spacing w:after="0"/>
      </w:pPr>
    </w:p>
    <w:p w14:paraId="70971DF3" w14:textId="77777777" w:rsidR="0059360A" w:rsidRPr="009F3060" w:rsidRDefault="00614E72" w:rsidP="00BF5A86">
      <w:pPr>
        <w:pStyle w:val="Heading2"/>
        <w:numPr>
          <w:ilvl w:val="0"/>
          <w:numId w:val="3"/>
        </w:numPr>
        <w:tabs>
          <w:tab w:val="left" w:pos="-720"/>
          <w:tab w:val="left" w:pos="0"/>
        </w:tabs>
        <w:suppressAutoHyphens/>
        <w:spacing w:after="0"/>
        <w:rPr>
          <w:lang w:val="en-GB"/>
        </w:rPr>
      </w:pPr>
      <w:r w:rsidRPr="009F3060">
        <w:t>DEFINITIONS</w:t>
      </w:r>
      <w:r w:rsidR="00B83E34">
        <w:t>:</w:t>
      </w:r>
    </w:p>
    <w:p w14:paraId="7064D9B4" w14:textId="77777777" w:rsidR="0059360A" w:rsidRPr="00575848" w:rsidRDefault="00BB7379" w:rsidP="00575848">
      <w:pPr>
        <w:pStyle w:val="Heading2"/>
        <w:numPr>
          <w:ilvl w:val="1"/>
          <w:numId w:val="3"/>
        </w:numPr>
        <w:tabs>
          <w:tab w:val="left" w:pos="-720"/>
          <w:tab w:val="left" w:pos="0"/>
        </w:tabs>
        <w:suppressAutoHyphens/>
        <w:spacing w:after="0"/>
        <w:rPr>
          <w:b w:val="0"/>
          <w:lang w:val="en-GB"/>
        </w:rPr>
      </w:pPr>
      <w:r w:rsidRPr="009F3060">
        <w:rPr>
          <w:lang w:val="en-GB"/>
        </w:rPr>
        <w:t>Active TB disease:</w:t>
      </w:r>
      <w:r w:rsidRPr="009F3060">
        <w:rPr>
          <w:b w:val="0"/>
          <w:lang w:val="en-GB"/>
        </w:rPr>
        <w:t xml:space="preserve"> </w:t>
      </w:r>
      <w:r w:rsidR="008470D5" w:rsidRPr="009F3060">
        <w:rPr>
          <w:b w:val="0"/>
          <w:lang w:val="en-GB"/>
        </w:rPr>
        <w:t xml:space="preserve">active clinical disease </w:t>
      </w:r>
      <w:r w:rsidR="00AB3963" w:rsidRPr="009F3060">
        <w:rPr>
          <w:b w:val="0"/>
          <w:lang w:val="en-GB"/>
        </w:rPr>
        <w:t xml:space="preserve">due to </w:t>
      </w:r>
      <w:r w:rsidR="00AB3963" w:rsidRPr="009F3060">
        <w:rPr>
          <w:b w:val="0"/>
          <w:i/>
          <w:lang w:val="en-GB"/>
        </w:rPr>
        <w:t>Mycobacterium tuberculosis</w:t>
      </w:r>
      <w:r w:rsidR="00AB3963" w:rsidRPr="009F3060">
        <w:rPr>
          <w:b w:val="0"/>
          <w:lang w:val="en-GB"/>
        </w:rPr>
        <w:t xml:space="preserve"> (</w:t>
      </w:r>
      <w:proofErr w:type="spellStart"/>
      <w:r w:rsidR="00AB3963" w:rsidRPr="009F3060">
        <w:rPr>
          <w:b w:val="0"/>
          <w:lang w:val="en-GB"/>
        </w:rPr>
        <w:t>MTb</w:t>
      </w:r>
      <w:proofErr w:type="spellEnd"/>
      <w:r w:rsidR="00AB3963" w:rsidRPr="009F3060">
        <w:rPr>
          <w:b w:val="0"/>
          <w:lang w:val="en-GB"/>
        </w:rPr>
        <w:t xml:space="preserve">) </w:t>
      </w:r>
      <w:r w:rsidR="008470D5" w:rsidRPr="009F3060">
        <w:rPr>
          <w:b w:val="0"/>
          <w:lang w:val="en-GB"/>
        </w:rPr>
        <w:t>that is usually symptomatic and for which microbiologic tests are usually positive and radiologic tests usually abnormal.</w:t>
      </w:r>
    </w:p>
    <w:p w14:paraId="6800B3EB" w14:textId="77777777" w:rsidR="0059360A" w:rsidRPr="00575848" w:rsidRDefault="00623BCB" w:rsidP="00575848">
      <w:pPr>
        <w:pStyle w:val="Heading2"/>
        <w:numPr>
          <w:ilvl w:val="1"/>
          <w:numId w:val="3"/>
        </w:numPr>
        <w:tabs>
          <w:tab w:val="left" w:pos="-720"/>
          <w:tab w:val="left" w:pos="0"/>
        </w:tabs>
        <w:suppressAutoHyphens/>
        <w:spacing w:after="0"/>
        <w:rPr>
          <w:spacing w:val="-3"/>
          <w:lang w:val="en-GB"/>
        </w:rPr>
      </w:pPr>
      <w:r w:rsidRPr="009F3060">
        <w:rPr>
          <w:spacing w:val="-3"/>
          <w:lang w:val="en-GB"/>
        </w:rPr>
        <w:t>Latent tuberculosis infection (LTBI):</w:t>
      </w:r>
      <w:r w:rsidRPr="009F3060">
        <w:rPr>
          <w:b w:val="0"/>
          <w:spacing w:val="-3"/>
          <w:lang w:val="en-GB"/>
        </w:rPr>
        <w:t xml:space="preserve">  the presence of latent or dormant infection with </w:t>
      </w:r>
      <w:proofErr w:type="spellStart"/>
      <w:r w:rsidRPr="009F3060">
        <w:rPr>
          <w:b w:val="0"/>
          <w:spacing w:val="-3"/>
          <w:lang w:val="en-GB"/>
        </w:rPr>
        <w:t>MTb</w:t>
      </w:r>
      <w:proofErr w:type="spellEnd"/>
      <w:r w:rsidRPr="009F3060">
        <w:rPr>
          <w:b w:val="0"/>
          <w:spacing w:val="-3"/>
          <w:lang w:val="en-GB"/>
        </w:rPr>
        <w:t>.  Persons with LTBI have no evidence of clinically active TB disease, i.e. they have no symptoms, no evidence of radiologic changes that suggest active TB disease and negative microbiologic tests; they are not infectious.</w:t>
      </w:r>
    </w:p>
    <w:p w14:paraId="7E031D01" w14:textId="0866E449" w:rsidR="008603E9" w:rsidRPr="00575848" w:rsidRDefault="00722BA4" w:rsidP="00E1004D">
      <w:pPr>
        <w:pStyle w:val="Heading2"/>
        <w:numPr>
          <w:ilvl w:val="1"/>
          <w:numId w:val="3"/>
        </w:numPr>
        <w:tabs>
          <w:tab w:val="left" w:pos="-720"/>
          <w:tab w:val="left" w:pos="0"/>
        </w:tabs>
        <w:suppressAutoHyphens/>
        <w:spacing w:after="0"/>
        <w:rPr>
          <w:b w:val="0"/>
        </w:rPr>
      </w:pPr>
      <w:r>
        <w:t>Rifa</w:t>
      </w:r>
      <w:r w:rsidR="008603E9">
        <w:t>pentine</w:t>
      </w:r>
      <w:r>
        <w:t>:</w:t>
      </w:r>
      <w:r>
        <w:rPr>
          <w:b w:val="0"/>
        </w:rPr>
        <w:t xml:space="preserve">  </w:t>
      </w:r>
      <w:r w:rsidRPr="00E1004D">
        <w:rPr>
          <w:b w:val="0"/>
        </w:rPr>
        <w:t>Rifa</w:t>
      </w:r>
      <w:r w:rsidR="008603E9" w:rsidRPr="00E1004D">
        <w:rPr>
          <w:b w:val="0"/>
        </w:rPr>
        <w:t>pentine</w:t>
      </w:r>
      <w:r w:rsidRPr="00E1004D">
        <w:rPr>
          <w:b w:val="0"/>
        </w:rPr>
        <w:t xml:space="preserve"> is an anti-tuberculosis antibiotic that is used in combination with </w:t>
      </w:r>
      <w:r w:rsidR="008603E9" w:rsidRPr="00E1004D">
        <w:rPr>
          <w:b w:val="0"/>
        </w:rPr>
        <w:t xml:space="preserve">INH </w:t>
      </w:r>
      <w:r w:rsidRPr="00E1004D">
        <w:rPr>
          <w:b w:val="0"/>
        </w:rPr>
        <w:t xml:space="preserve">to treat LTBI.  </w:t>
      </w:r>
      <w:r w:rsidR="00A16F38" w:rsidRPr="00E1004D">
        <w:rPr>
          <w:b w:val="0"/>
        </w:rPr>
        <w:t>It is not licensed in Canada, but can be accessed via Health Canada’s Special Access Program</w:t>
      </w:r>
      <w:r w:rsidR="00E1004D" w:rsidRPr="00E1004D">
        <w:rPr>
          <w:b w:val="0"/>
        </w:rPr>
        <w:t xml:space="preserve"> </w:t>
      </w:r>
      <w:r w:rsidR="00E1004D">
        <w:rPr>
          <w:b w:val="0"/>
        </w:rPr>
        <w:t>(</w:t>
      </w:r>
      <w:hyperlink r:id="rId8" w:history="1">
        <w:r w:rsidR="00E1004D" w:rsidRPr="00966F81">
          <w:rPr>
            <w:rStyle w:val="Hyperlink"/>
            <w:b w:val="0"/>
          </w:rPr>
          <w:t>https://www.canada.ca/en/health-canada/services/drugs-health-products/special-access/drugs.html</w:t>
        </w:r>
      </w:hyperlink>
      <w:r w:rsidR="00E1004D">
        <w:rPr>
          <w:b w:val="0"/>
        </w:rPr>
        <w:t xml:space="preserve">) </w:t>
      </w:r>
      <w:r w:rsidR="00E1004D" w:rsidRPr="00E1004D">
        <w:rPr>
          <w:b w:val="0"/>
        </w:rPr>
        <w:t xml:space="preserve">or </w:t>
      </w:r>
      <w:r w:rsidR="00E1004D" w:rsidRPr="00E1004D">
        <w:rPr>
          <w:b w:val="0"/>
          <w:color w:val="1F497D"/>
          <w:lang w:val="en-CA"/>
        </w:rPr>
        <w:t>acquire</w:t>
      </w:r>
      <w:r w:rsidR="00E1004D">
        <w:rPr>
          <w:b w:val="0"/>
          <w:color w:val="1F497D"/>
          <w:lang w:val="en-CA"/>
        </w:rPr>
        <w:t>d</w:t>
      </w:r>
      <w:r w:rsidR="00E1004D" w:rsidRPr="00E1004D">
        <w:rPr>
          <w:b w:val="0"/>
          <w:color w:val="1F497D"/>
          <w:lang w:val="en-CA"/>
        </w:rPr>
        <w:t xml:space="preserve"> through the Importation of Drugs for Urgent Public Health Need</w:t>
      </w:r>
      <w:r w:rsidR="00E1004D">
        <w:rPr>
          <w:b w:val="0"/>
          <w:color w:val="1F497D"/>
          <w:lang w:val="en-CA"/>
        </w:rPr>
        <w:t xml:space="preserve"> (</w:t>
      </w:r>
      <w:hyperlink r:id="rId9" w:history="1">
        <w:r w:rsidR="00E1004D" w:rsidRPr="00966F81">
          <w:rPr>
            <w:rStyle w:val="Hyperlink"/>
            <w:b w:val="0"/>
            <w:lang w:val="en-CA"/>
          </w:rPr>
          <w:t>https://www.canada.ca/en/health-canada/services/drugs-health-products/access-drugs-exceptional-circumstances/list-drugs-urgent-public-health-need.html</w:t>
        </w:r>
      </w:hyperlink>
      <w:r w:rsidR="00E1004D">
        <w:rPr>
          <w:b w:val="0"/>
          <w:color w:val="1F497D"/>
          <w:lang w:val="en-CA"/>
        </w:rPr>
        <w:t>)</w:t>
      </w:r>
      <w:r w:rsidR="00A16F38" w:rsidRPr="00E1004D">
        <w:rPr>
          <w:b w:val="0"/>
        </w:rPr>
        <w:t xml:space="preserve">.  </w:t>
      </w:r>
      <w:r w:rsidRPr="00E1004D">
        <w:rPr>
          <w:b w:val="0"/>
        </w:rPr>
        <w:t xml:space="preserve">A course of </w:t>
      </w:r>
      <w:r w:rsidR="008603E9" w:rsidRPr="00E1004D">
        <w:rPr>
          <w:b w:val="0"/>
        </w:rPr>
        <w:lastRenderedPageBreak/>
        <w:t>rifapentine and INH</w:t>
      </w:r>
      <w:r w:rsidR="008603E9">
        <w:rPr>
          <w:b w:val="0"/>
        </w:rPr>
        <w:t xml:space="preserve"> </w:t>
      </w:r>
      <w:r>
        <w:rPr>
          <w:b w:val="0"/>
        </w:rPr>
        <w:t xml:space="preserve">taken once </w:t>
      </w:r>
      <w:r w:rsidR="008603E9">
        <w:rPr>
          <w:b w:val="0"/>
        </w:rPr>
        <w:t xml:space="preserve">weekly DOPT </w:t>
      </w:r>
      <w:r>
        <w:rPr>
          <w:b w:val="0"/>
        </w:rPr>
        <w:t xml:space="preserve">for </w:t>
      </w:r>
      <w:r w:rsidR="008603E9">
        <w:rPr>
          <w:b w:val="0"/>
        </w:rPr>
        <w:t>12 weeks</w:t>
      </w:r>
      <w:r>
        <w:rPr>
          <w:b w:val="0"/>
        </w:rPr>
        <w:t xml:space="preserve"> is used to treat LTBI.</w:t>
      </w:r>
    </w:p>
    <w:p w14:paraId="587C9903" w14:textId="77777777" w:rsidR="004E7FDB" w:rsidRPr="004E7FDB" w:rsidRDefault="008603E9" w:rsidP="004E7FDB">
      <w:pPr>
        <w:pStyle w:val="Heading2"/>
        <w:numPr>
          <w:ilvl w:val="1"/>
          <w:numId w:val="3"/>
        </w:numPr>
        <w:tabs>
          <w:tab w:val="left" w:pos="-720"/>
          <w:tab w:val="left" w:pos="0"/>
        </w:tabs>
        <w:suppressAutoHyphens/>
        <w:spacing w:after="0"/>
        <w:rPr>
          <w:b w:val="0"/>
        </w:rPr>
      </w:pPr>
      <w:r w:rsidRPr="008603E9">
        <w:t>INH:</w:t>
      </w:r>
      <w:r w:rsidRPr="008603E9">
        <w:rPr>
          <w:b w:val="0"/>
        </w:rPr>
        <w:t xml:space="preserve"> isoniazid (INH) is an anti-tuberculosis antibiotic that is used in combination with other anti-TB medications to treat active TB disease; but can also be used alone to treat latent tuberculosis infection (LTBI).  A course of </w:t>
      </w:r>
      <w:r>
        <w:rPr>
          <w:b w:val="0"/>
        </w:rPr>
        <w:t xml:space="preserve">rifapentine and </w:t>
      </w:r>
      <w:r w:rsidRPr="008603E9">
        <w:rPr>
          <w:b w:val="0"/>
        </w:rPr>
        <w:t xml:space="preserve">INH taken once </w:t>
      </w:r>
      <w:r>
        <w:rPr>
          <w:b w:val="0"/>
        </w:rPr>
        <w:t xml:space="preserve">weekly DOPT </w:t>
      </w:r>
      <w:r w:rsidRPr="008603E9">
        <w:rPr>
          <w:b w:val="0"/>
        </w:rPr>
        <w:t xml:space="preserve">for </w:t>
      </w:r>
      <w:r>
        <w:rPr>
          <w:b w:val="0"/>
        </w:rPr>
        <w:t>12 weeks</w:t>
      </w:r>
      <w:r w:rsidRPr="008603E9">
        <w:rPr>
          <w:b w:val="0"/>
        </w:rPr>
        <w:t xml:space="preserve"> is used to treat LTBI</w:t>
      </w:r>
      <w:r>
        <w:rPr>
          <w:b w:val="0"/>
        </w:rPr>
        <w:t>.</w:t>
      </w:r>
    </w:p>
    <w:p w14:paraId="3F06E66D" w14:textId="6121D0E5" w:rsidR="004E7FDB" w:rsidRPr="004E7FDB" w:rsidRDefault="004E7FDB" w:rsidP="008C27B5">
      <w:pPr>
        <w:pStyle w:val="Heading2"/>
        <w:numPr>
          <w:ilvl w:val="1"/>
          <w:numId w:val="3"/>
        </w:numPr>
        <w:tabs>
          <w:tab w:val="left" w:pos="-720"/>
          <w:tab w:val="left" w:pos="0"/>
        </w:tabs>
        <w:suppressAutoHyphens/>
        <w:spacing w:after="0"/>
        <w:rPr>
          <w:b w:val="0"/>
        </w:rPr>
      </w:pPr>
      <w:r w:rsidRPr="004E7FDB">
        <w:t>D</w:t>
      </w:r>
      <w:r>
        <w:t xml:space="preserve">irectly </w:t>
      </w:r>
      <w:r w:rsidRPr="004E7FDB">
        <w:t>O</w:t>
      </w:r>
      <w:r>
        <w:t xml:space="preserve">bserved </w:t>
      </w:r>
      <w:r w:rsidRPr="004E7FDB">
        <w:t>P</w:t>
      </w:r>
      <w:r>
        <w:t>reven</w:t>
      </w:r>
      <w:r w:rsidR="005F001F">
        <w:t>ta</w:t>
      </w:r>
      <w:r>
        <w:t xml:space="preserve">tive </w:t>
      </w:r>
      <w:r w:rsidRPr="004E7FDB">
        <w:t>T</w:t>
      </w:r>
      <w:r>
        <w:t>herapy (DOPT)</w:t>
      </w:r>
      <w:r w:rsidRPr="004E7FDB">
        <w:t xml:space="preserve">:  </w:t>
      </w:r>
      <w:r w:rsidRPr="004E7FDB">
        <w:rPr>
          <w:b w:val="0"/>
        </w:rPr>
        <w:t>DOPT</w:t>
      </w:r>
      <w:r>
        <w:rPr>
          <w:b w:val="0"/>
        </w:rPr>
        <w:t xml:space="preserve"> is a process </w:t>
      </w:r>
      <w:r w:rsidRPr="004E7FDB">
        <w:rPr>
          <w:b w:val="0"/>
          <w:bCs w:val="0"/>
        </w:rPr>
        <w:t xml:space="preserve">whereby a health care </w:t>
      </w:r>
      <w:r>
        <w:rPr>
          <w:b w:val="0"/>
          <w:bCs w:val="0"/>
        </w:rPr>
        <w:t xml:space="preserve">provider </w:t>
      </w:r>
      <w:r w:rsidRPr="004E7FDB">
        <w:rPr>
          <w:b w:val="0"/>
          <w:bCs w:val="0"/>
        </w:rPr>
        <w:t xml:space="preserve">or delegate watches the patient swallow each dose of </w:t>
      </w:r>
      <w:r>
        <w:rPr>
          <w:b w:val="0"/>
          <w:bCs w:val="0"/>
        </w:rPr>
        <w:t xml:space="preserve">LTBI </w:t>
      </w:r>
      <w:r w:rsidRPr="004E7FDB">
        <w:rPr>
          <w:b w:val="0"/>
          <w:bCs w:val="0"/>
        </w:rPr>
        <w:t>medication, helping to ensure that higher treatment completion rates are achieved.</w:t>
      </w:r>
      <w:r w:rsidR="0096090D">
        <w:rPr>
          <w:b w:val="0"/>
          <w:bCs w:val="0"/>
        </w:rPr>
        <w:t xml:space="preserve">  DOPT also provides a valuable opportunity to address client concerns, client dignity, and access to social services.</w:t>
      </w:r>
    </w:p>
    <w:p w14:paraId="06C2B161" w14:textId="77777777" w:rsidR="00722BA4" w:rsidRPr="00575848" w:rsidRDefault="00722BA4" w:rsidP="008C27B5">
      <w:pPr>
        <w:pStyle w:val="Heading2"/>
        <w:numPr>
          <w:ilvl w:val="1"/>
          <w:numId w:val="3"/>
        </w:numPr>
        <w:tabs>
          <w:tab w:val="left" w:pos="-720"/>
          <w:tab w:val="left" w:pos="0"/>
        </w:tabs>
        <w:suppressAutoHyphens/>
        <w:spacing w:after="0"/>
        <w:rPr>
          <w:b w:val="0"/>
        </w:rPr>
      </w:pPr>
      <w:r>
        <w:t>Nursing Station</w:t>
      </w:r>
      <w:r w:rsidRPr="009F3060">
        <w:t>:</w:t>
      </w:r>
      <w:r w:rsidRPr="009F3060">
        <w:rPr>
          <w:b w:val="0"/>
        </w:rPr>
        <w:t xml:space="preserve"> </w:t>
      </w:r>
      <w:r w:rsidRPr="00722BA4">
        <w:rPr>
          <w:b w:val="0"/>
        </w:rPr>
        <w:t>a field unit/facility staffed (primarily with nurses but may also include visiting physicians, dentist, mental health counsellor, physiotherapist, pediatrician and other specialties) in order to carry out community and primary health care programs including: out-patient treatment and short-term in-patient care, public health services, chronic disease management, acute and emergency care</w:t>
      </w:r>
      <w:r>
        <w:rPr>
          <w:b w:val="0"/>
        </w:rPr>
        <w:t>.</w:t>
      </w:r>
    </w:p>
    <w:p w14:paraId="761B782E" w14:textId="6E506A6E" w:rsidR="00130A96" w:rsidRPr="00575848" w:rsidRDefault="00722BA4" w:rsidP="00130A96">
      <w:pPr>
        <w:pStyle w:val="Heading2"/>
        <w:numPr>
          <w:ilvl w:val="1"/>
          <w:numId w:val="3"/>
        </w:numPr>
        <w:tabs>
          <w:tab w:val="left" w:pos="-720"/>
          <w:tab w:val="left" w:pos="0"/>
        </w:tabs>
        <w:suppressAutoHyphens/>
        <w:spacing w:after="0"/>
        <w:rPr>
          <w:b w:val="0"/>
        </w:rPr>
      </w:pPr>
      <w:r w:rsidRPr="008C27B5">
        <w:rPr>
          <w:lang w:val="en-CA"/>
        </w:rPr>
        <w:t>Primary Care Provider:</w:t>
      </w:r>
      <w:r w:rsidRPr="008C27B5">
        <w:rPr>
          <w:b w:val="0"/>
          <w:lang w:val="en-CA"/>
        </w:rPr>
        <w:t xml:space="preserve"> a provider who </w:t>
      </w:r>
      <w:r w:rsidR="005F001F">
        <w:rPr>
          <w:b w:val="0"/>
          <w:lang w:val="en-CA"/>
        </w:rPr>
        <w:t xml:space="preserve">with some education and training </w:t>
      </w:r>
      <w:r w:rsidRPr="008C27B5">
        <w:rPr>
          <w:b w:val="0"/>
          <w:lang w:val="en-CA"/>
        </w:rPr>
        <w:t xml:space="preserve">is specialized in </w:t>
      </w:r>
      <w:r>
        <w:rPr>
          <w:b w:val="0"/>
          <w:lang w:val="en-CA"/>
        </w:rPr>
        <w:t>LTBI management</w:t>
      </w:r>
      <w:r w:rsidRPr="008C27B5">
        <w:rPr>
          <w:b w:val="0"/>
          <w:lang w:val="en-CA"/>
        </w:rPr>
        <w:t xml:space="preserve"> and legally authorized to order and receive resu</w:t>
      </w:r>
      <w:r w:rsidR="005F001F">
        <w:rPr>
          <w:b w:val="0"/>
          <w:lang w:val="en-CA"/>
        </w:rPr>
        <w:t>lts of tests, and is</w:t>
      </w:r>
      <w:r w:rsidRPr="008C27B5">
        <w:rPr>
          <w:b w:val="0"/>
          <w:lang w:val="en-CA"/>
        </w:rPr>
        <w:t xml:space="preserve"> able to prescribe medication, in this instance </w:t>
      </w:r>
      <w:r w:rsidRPr="008C27B5">
        <w:rPr>
          <w:b w:val="0"/>
        </w:rPr>
        <w:t>Physicians and Nurse Practit</w:t>
      </w:r>
      <w:r w:rsidR="005F001F">
        <w:rPr>
          <w:b w:val="0"/>
        </w:rPr>
        <w:t>ioners.</w:t>
      </w:r>
      <w:r w:rsidRPr="008C27B5">
        <w:rPr>
          <w:b w:val="0"/>
        </w:rPr>
        <w:t xml:space="preserve">  The Primary Care Provider is ultimately responsible to initiate baseline and follow up testing, monitoring and adjusting </w:t>
      </w:r>
      <w:r w:rsidR="00130A96">
        <w:rPr>
          <w:b w:val="0"/>
        </w:rPr>
        <w:t>r</w:t>
      </w:r>
      <w:r>
        <w:rPr>
          <w:b w:val="0"/>
        </w:rPr>
        <w:t>ifa</w:t>
      </w:r>
      <w:r w:rsidR="00130A96">
        <w:rPr>
          <w:b w:val="0"/>
        </w:rPr>
        <w:t>pentine and INH l</w:t>
      </w:r>
      <w:r w:rsidRPr="008C27B5">
        <w:rPr>
          <w:b w:val="0"/>
        </w:rPr>
        <w:t>ab</w:t>
      </w:r>
      <w:r w:rsidR="008C27B5">
        <w:rPr>
          <w:b w:val="0"/>
        </w:rPr>
        <w:t xml:space="preserve"> investigation</w:t>
      </w:r>
      <w:r w:rsidRPr="008C27B5">
        <w:rPr>
          <w:b w:val="0"/>
        </w:rPr>
        <w:t>s and medication doses.</w:t>
      </w:r>
    </w:p>
    <w:p w14:paraId="16DE616B" w14:textId="1E0FFAB8" w:rsidR="00130A96" w:rsidRPr="00575848" w:rsidRDefault="00722BA4" w:rsidP="00575848">
      <w:pPr>
        <w:pStyle w:val="Heading2"/>
        <w:numPr>
          <w:ilvl w:val="1"/>
          <w:numId w:val="3"/>
        </w:numPr>
        <w:tabs>
          <w:tab w:val="left" w:pos="-720"/>
          <w:tab w:val="left" w:pos="0"/>
        </w:tabs>
        <w:suppressAutoHyphens/>
        <w:spacing w:after="0"/>
        <w:rPr>
          <w:b w:val="0"/>
        </w:rPr>
      </w:pPr>
      <w:r w:rsidRPr="008C27B5">
        <w:t>Primary Care Nurses:</w:t>
      </w:r>
      <w:r w:rsidRPr="008C27B5">
        <w:rPr>
          <w:b w:val="0"/>
        </w:rPr>
        <w:t xml:space="preserve"> role may include follow up with tracking of lab results, review them, and alert the prescriber to abnormal results.</w:t>
      </w:r>
    </w:p>
    <w:p w14:paraId="6C4BFE24" w14:textId="661228F4" w:rsidR="00130A96" w:rsidRPr="00575848" w:rsidRDefault="00722BA4" w:rsidP="00575848">
      <w:pPr>
        <w:pStyle w:val="Heading2"/>
        <w:numPr>
          <w:ilvl w:val="1"/>
          <w:numId w:val="3"/>
        </w:numPr>
        <w:tabs>
          <w:tab w:val="left" w:pos="-720"/>
          <w:tab w:val="left" w:pos="0"/>
        </w:tabs>
        <w:suppressAutoHyphens/>
        <w:spacing w:after="0"/>
        <w:rPr>
          <w:b w:val="0"/>
          <w:lang w:val="en-CA"/>
        </w:rPr>
      </w:pPr>
      <w:r w:rsidRPr="008C27B5">
        <w:rPr>
          <w:lang w:val="en-CA"/>
        </w:rPr>
        <w:t>Clinical Support Staff:</w:t>
      </w:r>
      <w:r w:rsidRPr="008C27B5">
        <w:rPr>
          <w:b w:val="0"/>
          <w:lang w:val="en-CA"/>
        </w:rPr>
        <w:t xml:space="preserve"> unregulated health care workers, e.g., Primary Care Assistants, Unit Assistants, Nursing Assistants or Medical Office Assistants, or equivalent role.</w:t>
      </w:r>
    </w:p>
    <w:p w14:paraId="3A6194BA" w14:textId="61B9F6C0" w:rsidR="0023141C" w:rsidRPr="00575848" w:rsidRDefault="0023141C" w:rsidP="0023141C">
      <w:pPr>
        <w:pStyle w:val="Heading2"/>
        <w:numPr>
          <w:ilvl w:val="1"/>
          <w:numId w:val="3"/>
        </w:numPr>
        <w:tabs>
          <w:tab w:val="left" w:pos="-720"/>
          <w:tab w:val="left" w:pos="0"/>
        </w:tabs>
        <w:suppressAutoHyphens/>
        <w:spacing w:after="0"/>
        <w:rPr>
          <w:b w:val="0"/>
        </w:rPr>
      </w:pPr>
      <w:r>
        <w:t>Clinical Team:</w:t>
      </w:r>
      <w:r>
        <w:rPr>
          <w:b w:val="0"/>
        </w:rPr>
        <w:t xml:space="preserve"> refers to LTBI prescribing clinicians (physicians/nurse practitioners), nursing station nurses, clinical support staff, learners (health care students, residents), laboratory and diagnostic imaging staff, specialist </w:t>
      </w:r>
      <w:r>
        <w:rPr>
          <w:b w:val="0"/>
        </w:rPr>
        <w:lastRenderedPageBreak/>
        <w:t>providers (Chest Medicine, Infectious Diseases), and individuals with LTBI and their families.</w:t>
      </w:r>
    </w:p>
    <w:p w14:paraId="4C9381E8" w14:textId="363C02FC" w:rsidR="00130A96" w:rsidRPr="00575848" w:rsidRDefault="00130A96" w:rsidP="00575848">
      <w:pPr>
        <w:pStyle w:val="Heading2"/>
        <w:numPr>
          <w:ilvl w:val="1"/>
          <w:numId w:val="3"/>
        </w:numPr>
        <w:tabs>
          <w:tab w:val="left" w:pos="-720"/>
          <w:tab w:val="left" w:pos="0"/>
        </w:tabs>
        <w:suppressAutoHyphens/>
        <w:spacing w:after="0"/>
        <w:rPr>
          <w:b w:val="0"/>
        </w:rPr>
      </w:pPr>
      <w:r w:rsidRPr="008C27B5">
        <w:t>Individual:</w:t>
      </w:r>
      <w:r w:rsidRPr="008C27B5">
        <w:rPr>
          <w:b w:val="0"/>
        </w:rPr>
        <w:t xml:space="preserve"> refers to Patient and/or Client</w:t>
      </w:r>
      <w:r>
        <w:rPr>
          <w:b w:val="0"/>
        </w:rPr>
        <w:t>.</w:t>
      </w:r>
    </w:p>
    <w:p w14:paraId="51EB6F0E" w14:textId="1C5E6922" w:rsidR="00130A96" w:rsidRPr="00130A96" w:rsidRDefault="00130A96" w:rsidP="00E1004D">
      <w:pPr>
        <w:pStyle w:val="Heading2"/>
        <w:tabs>
          <w:tab w:val="left" w:pos="-720"/>
          <w:tab w:val="left" w:pos="0"/>
        </w:tabs>
        <w:suppressAutoHyphens/>
        <w:spacing w:after="0"/>
        <w:rPr>
          <w:b w:val="0"/>
        </w:rPr>
      </w:pPr>
    </w:p>
    <w:p w14:paraId="50105AC1" w14:textId="77777777" w:rsidR="00130A96" w:rsidRDefault="00130A96" w:rsidP="00130A96">
      <w:pPr>
        <w:pStyle w:val="Heading2"/>
        <w:tabs>
          <w:tab w:val="left" w:pos="-720"/>
          <w:tab w:val="left" w:pos="0"/>
        </w:tabs>
        <w:suppressAutoHyphens/>
        <w:spacing w:after="0"/>
        <w:ind w:left="420"/>
      </w:pPr>
    </w:p>
    <w:p w14:paraId="1E7682D2" w14:textId="77777777" w:rsidR="00401356" w:rsidRPr="001B784D" w:rsidRDefault="009F14D3" w:rsidP="008C27B5">
      <w:pPr>
        <w:pStyle w:val="Heading2"/>
        <w:numPr>
          <w:ilvl w:val="0"/>
          <w:numId w:val="3"/>
        </w:numPr>
        <w:tabs>
          <w:tab w:val="left" w:pos="-720"/>
          <w:tab w:val="left" w:pos="0"/>
        </w:tabs>
        <w:suppressAutoHyphens/>
        <w:spacing w:after="0"/>
      </w:pPr>
      <w:r w:rsidRPr="001B784D">
        <w:t>B</w:t>
      </w:r>
      <w:r w:rsidR="00D462B5" w:rsidRPr="001B784D">
        <w:t>ACKGROUND</w:t>
      </w:r>
    </w:p>
    <w:p w14:paraId="43856A8F" w14:textId="49635FBC" w:rsidR="00401356" w:rsidRPr="00575848" w:rsidRDefault="00B516AE" w:rsidP="00575848">
      <w:pPr>
        <w:pStyle w:val="Heading2"/>
        <w:numPr>
          <w:ilvl w:val="1"/>
          <w:numId w:val="3"/>
        </w:numPr>
        <w:tabs>
          <w:tab w:val="left" w:pos="-720"/>
          <w:tab w:val="left" w:pos="0"/>
        </w:tabs>
        <w:suppressAutoHyphens/>
        <w:spacing w:after="0"/>
        <w:rPr>
          <w:b w:val="0"/>
        </w:rPr>
      </w:pPr>
      <w:r>
        <w:rPr>
          <w:b w:val="0"/>
        </w:rPr>
        <w:t>Rifa</w:t>
      </w:r>
      <w:r w:rsidR="00130A96">
        <w:rPr>
          <w:b w:val="0"/>
        </w:rPr>
        <w:t xml:space="preserve">pentine and INH in combination </w:t>
      </w:r>
      <w:r>
        <w:rPr>
          <w:b w:val="0"/>
        </w:rPr>
        <w:t>is increasingly being utilized for the treatment of LTBI</w:t>
      </w:r>
      <w:r w:rsidR="00130A96">
        <w:rPr>
          <w:b w:val="0"/>
        </w:rPr>
        <w:t xml:space="preserve">, </w:t>
      </w:r>
      <w:r>
        <w:rPr>
          <w:b w:val="0"/>
        </w:rPr>
        <w:t>because of its shorter course of treatment (</w:t>
      </w:r>
      <w:r w:rsidR="00130A96">
        <w:rPr>
          <w:b w:val="0"/>
        </w:rPr>
        <w:t>12 weeks</w:t>
      </w:r>
      <w:r>
        <w:rPr>
          <w:b w:val="0"/>
        </w:rPr>
        <w:t xml:space="preserve">), its </w:t>
      </w:r>
      <w:r w:rsidR="00130A96">
        <w:rPr>
          <w:b w:val="0"/>
        </w:rPr>
        <w:t>ease of administration (once weekly DOPT), its</w:t>
      </w:r>
      <w:r w:rsidR="007D056D">
        <w:rPr>
          <w:b w:val="0"/>
        </w:rPr>
        <w:t xml:space="preserve"> </w:t>
      </w:r>
      <w:r>
        <w:rPr>
          <w:b w:val="0"/>
        </w:rPr>
        <w:t xml:space="preserve">lower hepatotoxicity versus </w:t>
      </w:r>
      <w:r w:rsidR="007D056D">
        <w:rPr>
          <w:b w:val="0"/>
        </w:rPr>
        <w:t>daily INH</w:t>
      </w:r>
      <w:r>
        <w:rPr>
          <w:b w:val="0"/>
        </w:rPr>
        <w:t>, its higher treatment completion rates</w:t>
      </w:r>
      <w:r w:rsidR="00C9014A">
        <w:rPr>
          <w:b w:val="0"/>
        </w:rPr>
        <w:t xml:space="preserve"> (&gt;80%)</w:t>
      </w:r>
      <w:r>
        <w:rPr>
          <w:b w:val="0"/>
        </w:rPr>
        <w:t xml:space="preserve">, and its equivalent effectiveness versus </w:t>
      </w:r>
      <w:r w:rsidR="007D056D">
        <w:rPr>
          <w:b w:val="0"/>
        </w:rPr>
        <w:t>daily INH</w:t>
      </w:r>
      <w:r>
        <w:rPr>
          <w:b w:val="0"/>
        </w:rPr>
        <w:t xml:space="preserve">.  </w:t>
      </w:r>
      <w:r w:rsidR="00677163" w:rsidRPr="00677163">
        <w:rPr>
          <w:b w:val="0"/>
        </w:rPr>
        <w:t>The Canadian TB Standards (7</w:t>
      </w:r>
      <w:r w:rsidR="00677163" w:rsidRPr="00677163">
        <w:rPr>
          <w:b w:val="0"/>
          <w:vertAlign w:val="superscript"/>
        </w:rPr>
        <w:t>th</w:t>
      </w:r>
      <w:r w:rsidR="00435799">
        <w:rPr>
          <w:b w:val="0"/>
        </w:rPr>
        <w:t xml:space="preserve"> edition) provide</w:t>
      </w:r>
      <w:r w:rsidR="00677163" w:rsidRPr="00677163">
        <w:rPr>
          <w:b w:val="0"/>
        </w:rPr>
        <w:t xml:space="preserve"> </w:t>
      </w:r>
      <w:r w:rsidR="007D056D">
        <w:rPr>
          <w:b w:val="0"/>
        </w:rPr>
        <w:t xml:space="preserve">a </w:t>
      </w:r>
      <w:r w:rsidR="00677163" w:rsidRPr="00677163">
        <w:rPr>
          <w:b w:val="0"/>
        </w:rPr>
        <w:t>recommendation</w:t>
      </w:r>
      <w:r w:rsidR="007D056D">
        <w:rPr>
          <w:b w:val="0"/>
        </w:rPr>
        <w:t xml:space="preserve"> in favour of the use of once weekly rifapentine and INH for 12 weeks, a</w:t>
      </w:r>
      <w:r w:rsidR="00677163" w:rsidRPr="00677163">
        <w:rPr>
          <w:b w:val="0"/>
        </w:rPr>
        <w:t xml:space="preserve">s </w:t>
      </w:r>
      <w:r w:rsidR="007D056D">
        <w:rPr>
          <w:b w:val="0"/>
        </w:rPr>
        <w:t>long as it is administered via DOPT with “very close moni</w:t>
      </w:r>
      <w:r w:rsidR="00677163" w:rsidRPr="00677163">
        <w:rPr>
          <w:b w:val="0"/>
        </w:rPr>
        <w:t>toring</w:t>
      </w:r>
      <w:r w:rsidR="007D056D">
        <w:rPr>
          <w:b w:val="0"/>
        </w:rPr>
        <w:t xml:space="preserve">” </w:t>
      </w:r>
      <w:r>
        <w:rPr>
          <w:b w:val="0"/>
        </w:rPr>
        <w:t>(Chapter 6</w:t>
      </w:r>
      <w:r w:rsidR="00677163" w:rsidRPr="00677163">
        <w:rPr>
          <w:b w:val="0"/>
        </w:rPr>
        <w:t>).</w:t>
      </w:r>
      <w:r w:rsidR="00925A29">
        <w:rPr>
          <w:b w:val="0"/>
        </w:rPr>
        <w:t xml:space="preserve">  Th</w:t>
      </w:r>
      <w:r w:rsidR="007D056D">
        <w:rPr>
          <w:b w:val="0"/>
        </w:rPr>
        <w:t>i</w:t>
      </w:r>
      <w:r w:rsidR="00925A29">
        <w:rPr>
          <w:b w:val="0"/>
        </w:rPr>
        <w:t xml:space="preserve">s </w:t>
      </w:r>
      <w:r w:rsidR="00925A29" w:rsidRPr="00677163">
        <w:rPr>
          <w:b w:val="0"/>
        </w:rPr>
        <w:t xml:space="preserve">recommendation </w:t>
      </w:r>
      <w:r w:rsidR="007D056D">
        <w:rPr>
          <w:b w:val="0"/>
        </w:rPr>
        <w:t xml:space="preserve">is </w:t>
      </w:r>
      <w:r w:rsidR="00004B54">
        <w:rPr>
          <w:b w:val="0"/>
        </w:rPr>
        <w:t>based on “</w:t>
      </w:r>
      <w:r w:rsidR="007D056D">
        <w:rPr>
          <w:b w:val="0"/>
        </w:rPr>
        <w:t xml:space="preserve">moderate </w:t>
      </w:r>
      <w:r w:rsidR="00004B54">
        <w:rPr>
          <w:b w:val="0"/>
        </w:rPr>
        <w:t xml:space="preserve">evidence” </w:t>
      </w:r>
      <w:r w:rsidR="007D056D">
        <w:rPr>
          <w:b w:val="0"/>
        </w:rPr>
        <w:t>s</w:t>
      </w:r>
      <w:r w:rsidR="00004B54">
        <w:rPr>
          <w:b w:val="0"/>
        </w:rPr>
        <w:t>in</w:t>
      </w:r>
      <w:r w:rsidR="007D056D">
        <w:rPr>
          <w:b w:val="0"/>
        </w:rPr>
        <w:t>ce</w:t>
      </w:r>
      <w:r w:rsidR="00925A29" w:rsidRPr="00677163">
        <w:rPr>
          <w:b w:val="0"/>
        </w:rPr>
        <w:t xml:space="preserve"> there is </w:t>
      </w:r>
      <w:r w:rsidR="007D056D">
        <w:rPr>
          <w:b w:val="0"/>
        </w:rPr>
        <w:t>reasonably good pu</w:t>
      </w:r>
      <w:r w:rsidR="00925A29" w:rsidRPr="00677163">
        <w:rPr>
          <w:b w:val="0"/>
        </w:rPr>
        <w:t xml:space="preserve">blished data to </w:t>
      </w:r>
      <w:r w:rsidR="007D056D">
        <w:rPr>
          <w:b w:val="0"/>
        </w:rPr>
        <w:t>support the use of rifapentine/INH combination therapy.</w:t>
      </w:r>
    </w:p>
    <w:p w14:paraId="2889A0C5" w14:textId="4073BF3D" w:rsidR="00445CDD" w:rsidRPr="00445CDD" w:rsidRDefault="008C27B5" w:rsidP="00445CDD">
      <w:pPr>
        <w:pStyle w:val="Heading2"/>
        <w:numPr>
          <w:ilvl w:val="1"/>
          <w:numId w:val="3"/>
        </w:numPr>
        <w:tabs>
          <w:tab w:val="left" w:pos="-720"/>
          <w:tab w:val="left" w:pos="0"/>
        </w:tabs>
        <w:suppressAutoHyphens/>
        <w:spacing w:after="0"/>
        <w:rPr>
          <w:b w:val="0"/>
        </w:rPr>
      </w:pPr>
      <w:r>
        <w:rPr>
          <w:b w:val="0"/>
        </w:rPr>
        <w:t>T</w:t>
      </w:r>
      <w:r w:rsidRPr="00925A29">
        <w:rPr>
          <w:b w:val="0"/>
        </w:rPr>
        <w:t>h</w:t>
      </w:r>
      <w:r w:rsidR="005F001F">
        <w:rPr>
          <w:b w:val="0"/>
        </w:rPr>
        <w:t xml:space="preserve">is </w:t>
      </w:r>
      <w:r w:rsidR="007D056D" w:rsidRPr="007D056D">
        <w:rPr>
          <w:b w:val="0"/>
        </w:rPr>
        <w:t>rifapentine/INH administration guideline</w:t>
      </w:r>
      <w:r w:rsidR="005F001F">
        <w:rPr>
          <w:b w:val="0"/>
        </w:rPr>
        <w:t xml:space="preserve"> has been created</w:t>
      </w:r>
      <w:r w:rsidR="007D056D" w:rsidRPr="007D056D">
        <w:rPr>
          <w:b w:val="0"/>
        </w:rPr>
        <w:t xml:space="preserve"> using the “</w:t>
      </w:r>
      <w:r w:rsidR="007D056D" w:rsidRPr="007D056D">
        <w:rPr>
          <w:b w:val="0"/>
          <w:i/>
        </w:rPr>
        <w:t xml:space="preserve">Northern Guidelines for Use of </w:t>
      </w:r>
      <w:r w:rsidR="007D056D" w:rsidRPr="007D056D">
        <w:rPr>
          <w:b w:val="0"/>
          <w:i/>
          <w:shd w:val="clear" w:color="auto" w:fill="FFFFFF"/>
        </w:rPr>
        <w:t xml:space="preserve">an Isoniazid-Rifapentine Regimen with Direct Observation to Treat Latent </w:t>
      </w:r>
      <w:r w:rsidR="007D056D" w:rsidRPr="007D056D">
        <w:rPr>
          <w:b w:val="0"/>
          <w:i/>
          <w:iCs/>
          <w:u w:val="single"/>
          <w:shd w:val="clear" w:color="auto" w:fill="FFFFFF"/>
        </w:rPr>
        <w:t>Mycobacterium tuberculosis</w:t>
      </w:r>
      <w:r w:rsidR="007D056D" w:rsidRPr="007D056D">
        <w:rPr>
          <w:b w:val="0"/>
          <w:i/>
          <w:iCs/>
          <w:shd w:val="clear" w:color="auto" w:fill="FFFFFF"/>
        </w:rPr>
        <w:t xml:space="preserve"> </w:t>
      </w:r>
      <w:r w:rsidR="007D056D" w:rsidRPr="007D056D">
        <w:rPr>
          <w:b w:val="0"/>
          <w:i/>
          <w:shd w:val="clear" w:color="auto" w:fill="FFFFFF"/>
        </w:rPr>
        <w:t>Infection</w:t>
      </w:r>
      <w:r w:rsidR="007D056D">
        <w:rPr>
          <w:b w:val="0"/>
          <w:shd w:val="clear" w:color="auto" w:fill="FFFFFF"/>
        </w:rPr>
        <w:t xml:space="preserve">” </w:t>
      </w:r>
      <w:r w:rsidR="007D056D">
        <w:rPr>
          <w:b w:val="0"/>
          <w:shd w:val="clear" w:color="auto" w:fill="FFFFFF"/>
        </w:rPr>
        <w:lastRenderedPageBreak/>
        <w:t xml:space="preserve">developed in the Northern Regional Health Authority on </w:t>
      </w:r>
      <w:r w:rsidR="007D056D" w:rsidRPr="007D056D">
        <w:rPr>
          <w:b w:val="0"/>
          <w:shd w:val="clear" w:color="auto" w:fill="FFFFFF"/>
        </w:rPr>
        <w:t>July 15, 2014</w:t>
      </w:r>
      <w:r w:rsidR="007D056D">
        <w:rPr>
          <w:b w:val="0"/>
          <w:shd w:val="clear" w:color="auto" w:fill="FFFFFF"/>
        </w:rPr>
        <w:t xml:space="preserve"> </w:t>
      </w:r>
      <w:r w:rsidRPr="007D056D">
        <w:rPr>
          <w:b w:val="0"/>
        </w:rPr>
        <w:t>(informed by the CTS 7</w:t>
      </w:r>
      <w:r w:rsidRPr="007D056D">
        <w:rPr>
          <w:b w:val="0"/>
          <w:vertAlign w:val="superscript"/>
        </w:rPr>
        <w:t>th</w:t>
      </w:r>
      <w:r w:rsidRPr="007D056D">
        <w:rPr>
          <w:b w:val="0"/>
        </w:rPr>
        <w:t xml:space="preserve"> edition)</w:t>
      </w:r>
      <w:r w:rsidRPr="008905B3">
        <w:rPr>
          <w:b w:val="0"/>
        </w:rPr>
        <w:t>.</w:t>
      </w:r>
    </w:p>
    <w:p w14:paraId="42E9657B" w14:textId="77777777" w:rsidR="00445CDD" w:rsidRDefault="00445CDD" w:rsidP="00445CDD">
      <w:pPr>
        <w:pStyle w:val="Heading2"/>
        <w:tabs>
          <w:tab w:val="left" w:pos="-720"/>
          <w:tab w:val="left" w:pos="0"/>
        </w:tabs>
        <w:suppressAutoHyphens/>
        <w:spacing w:after="0"/>
        <w:ind w:left="420"/>
      </w:pPr>
    </w:p>
    <w:p w14:paraId="0EE6F734" w14:textId="77777777" w:rsidR="00EB4FF2" w:rsidRDefault="00EB4FF2" w:rsidP="008C27B5">
      <w:pPr>
        <w:pStyle w:val="Heading2"/>
        <w:numPr>
          <w:ilvl w:val="0"/>
          <w:numId w:val="3"/>
        </w:numPr>
        <w:tabs>
          <w:tab w:val="left" w:pos="-720"/>
          <w:tab w:val="left" w:pos="0"/>
        </w:tabs>
        <w:suppressAutoHyphens/>
        <w:spacing w:after="0"/>
      </w:pPr>
      <w:r>
        <w:t>CRITERIA for use of rifapentine and INH</w:t>
      </w:r>
    </w:p>
    <w:p w14:paraId="4DA63F5C" w14:textId="28509C6E" w:rsidR="00EB4FF2" w:rsidRDefault="00EB4FF2" w:rsidP="00EB4FF2">
      <w:pPr>
        <w:pStyle w:val="Heading2"/>
        <w:numPr>
          <w:ilvl w:val="1"/>
          <w:numId w:val="3"/>
        </w:numPr>
        <w:tabs>
          <w:tab w:val="left" w:pos="-720"/>
          <w:tab w:val="left" w:pos="0"/>
        </w:tabs>
        <w:suppressAutoHyphens/>
        <w:spacing w:after="0"/>
        <w:rPr>
          <w:b w:val="0"/>
        </w:rPr>
      </w:pPr>
      <w:r w:rsidRPr="00C17309">
        <w:t xml:space="preserve">Rifapentine and INH should only be used for the management of LTBI </w:t>
      </w:r>
      <w:r w:rsidR="00C9014A" w:rsidRPr="00C17309">
        <w:t>(and not for</w:t>
      </w:r>
      <w:r w:rsidRPr="00C17309">
        <w:t xml:space="preserve"> </w:t>
      </w:r>
      <w:r w:rsidR="000C0017" w:rsidRPr="00C17309">
        <w:t xml:space="preserve">the treatment of </w:t>
      </w:r>
      <w:r w:rsidRPr="00C17309">
        <w:t>active TB disease</w:t>
      </w:r>
      <w:r w:rsidR="00C9014A" w:rsidRPr="00C17309">
        <w:t>),</w:t>
      </w:r>
      <w:r w:rsidR="00DB39F4" w:rsidRPr="00C17309">
        <w:t xml:space="preserve"> a</w:t>
      </w:r>
      <w:r w:rsidR="00C9014A" w:rsidRPr="00C17309">
        <w:t>nd require</w:t>
      </w:r>
      <w:r w:rsidR="00DB39F4" w:rsidRPr="00C17309">
        <w:t>s a</w:t>
      </w:r>
      <w:r w:rsidR="000C0017" w:rsidRPr="00C17309">
        <w:t>dministration by DOPT</w:t>
      </w:r>
      <w:r>
        <w:rPr>
          <w:b w:val="0"/>
        </w:rPr>
        <w:t>.</w:t>
      </w:r>
    </w:p>
    <w:p w14:paraId="7DD99279" w14:textId="77777777" w:rsidR="00EB4FF2" w:rsidRDefault="00EB4FF2" w:rsidP="00EB4FF2">
      <w:pPr>
        <w:pStyle w:val="Heading2"/>
        <w:numPr>
          <w:ilvl w:val="1"/>
          <w:numId w:val="3"/>
        </w:numPr>
        <w:tabs>
          <w:tab w:val="left" w:pos="-720"/>
          <w:tab w:val="left" w:pos="0"/>
        </w:tabs>
        <w:suppressAutoHyphens/>
        <w:spacing w:after="0"/>
        <w:rPr>
          <w:b w:val="0"/>
        </w:rPr>
      </w:pPr>
      <w:r>
        <w:rPr>
          <w:b w:val="0"/>
        </w:rPr>
        <w:t>The following additional criteria must all be met to qualify for rifapentine and INH once weekly DOPT:</w:t>
      </w:r>
    </w:p>
    <w:p w14:paraId="1ED514EF" w14:textId="77777777" w:rsidR="00EB4FF2" w:rsidRDefault="00EB4FF2" w:rsidP="00EB4FF2">
      <w:pPr>
        <w:pStyle w:val="Heading2"/>
        <w:numPr>
          <w:ilvl w:val="2"/>
          <w:numId w:val="3"/>
        </w:numPr>
        <w:tabs>
          <w:tab w:val="left" w:pos="-720"/>
          <w:tab w:val="left" w:pos="0"/>
        </w:tabs>
        <w:suppressAutoHyphens/>
        <w:spacing w:after="0"/>
        <w:rPr>
          <w:b w:val="0"/>
        </w:rPr>
      </w:pPr>
      <w:r>
        <w:rPr>
          <w:b w:val="0"/>
        </w:rPr>
        <w:t>Age over 2 years</w:t>
      </w:r>
    </w:p>
    <w:p w14:paraId="232423D5" w14:textId="15451237" w:rsidR="00EB4FF2" w:rsidRPr="00C9014A" w:rsidRDefault="00C9014A" w:rsidP="00C9014A">
      <w:pPr>
        <w:pStyle w:val="Heading2"/>
        <w:numPr>
          <w:ilvl w:val="2"/>
          <w:numId w:val="3"/>
        </w:numPr>
        <w:tabs>
          <w:tab w:val="left" w:pos="-720"/>
          <w:tab w:val="left" w:pos="0"/>
        </w:tabs>
        <w:suppressAutoHyphens/>
        <w:spacing w:after="0"/>
        <w:rPr>
          <w:b w:val="0"/>
        </w:rPr>
      </w:pPr>
      <w:r>
        <w:rPr>
          <w:b w:val="0"/>
        </w:rPr>
        <w:t>Positive result</w:t>
      </w:r>
      <w:r w:rsidR="00EB4FF2" w:rsidRPr="00C9014A">
        <w:rPr>
          <w:b w:val="0"/>
        </w:rPr>
        <w:t xml:space="preserve"> on a test for LTBI (tuberculin skin test or interferon gamma release assay)</w:t>
      </w:r>
    </w:p>
    <w:p w14:paraId="7567D169" w14:textId="1E3217BC" w:rsidR="00005450" w:rsidRPr="00005450" w:rsidRDefault="00EB4FF2" w:rsidP="00EB4FF2">
      <w:pPr>
        <w:pStyle w:val="Heading2"/>
        <w:numPr>
          <w:ilvl w:val="2"/>
          <w:numId w:val="3"/>
        </w:numPr>
        <w:tabs>
          <w:tab w:val="left" w:pos="-720"/>
          <w:tab w:val="left" w:pos="0"/>
        </w:tabs>
        <w:suppressAutoHyphens/>
        <w:spacing w:after="0"/>
        <w:rPr>
          <w:b w:val="0"/>
        </w:rPr>
      </w:pPr>
      <w:r w:rsidRPr="00005450">
        <w:rPr>
          <w:b w:val="0"/>
        </w:rPr>
        <w:t>Normal chest radiography or evidence of healed pulmonary TB on chest radiography</w:t>
      </w:r>
      <w:r w:rsidR="00C80808" w:rsidRPr="00005450">
        <w:rPr>
          <w:b w:val="0"/>
        </w:rPr>
        <w:t xml:space="preserve"> </w:t>
      </w:r>
      <w:r w:rsidR="00005450" w:rsidRPr="00005450">
        <w:rPr>
          <w:b w:val="0"/>
        </w:rPr>
        <w:t>(i.e., active pulmonary TB disease is ruled out)</w:t>
      </w:r>
      <w:r w:rsidR="0048087A">
        <w:rPr>
          <w:b w:val="0"/>
        </w:rPr>
        <w:t xml:space="preserve"> AND no current symptoms suggestive of active TB disease</w:t>
      </w:r>
    </w:p>
    <w:p w14:paraId="7F495EFB" w14:textId="2AD990FF" w:rsidR="00EB4FF2" w:rsidRPr="0048087A" w:rsidRDefault="00575848" w:rsidP="00EB4FF2">
      <w:pPr>
        <w:pStyle w:val="Heading2"/>
        <w:numPr>
          <w:ilvl w:val="2"/>
          <w:numId w:val="3"/>
        </w:numPr>
        <w:tabs>
          <w:tab w:val="left" w:pos="-720"/>
          <w:tab w:val="left" w:pos="0"/>
        </w:tabs>
        <w:suppressAutoHyphens/>
        <w:spacing w:after="0"/>
        <w:rPr>
          <w:b w:val="0"/>
        </w:rPr>
      </w:pPr>
      <w:r w:rsidRPr="0048087A">
        <w:rPr>
          <w:b w:val="0"/>
        </w:rPr>
        <w:t>Expectation of a high probability that treatment completion will be achieved, as foreseen from medical and social circumstances.</w:t>
      </w:r>
    </w:p>
    <w:p w14:paraId="29E7D89E" w14:textId="1D3AB33D" w:rsidR="0048087A" w:rsidRPr="0048087A" w:rsidRDefault="0048087A" w:rsidP="00EB4FF2">
      <w:pPr>
        <w:pStyle w:val="Heading2"/>
        <w:numPr>
          <w:ilvl w:val="1"/>
          <w:numId w:val="3"/>
        </w:numPr>
        <w:tabs>
          <w:tab w:val="left" w:pos="-720"/>
          <w:tab w:val="left" w:pos="0"/>
        </w:tabs>
        <w:suppressAutoHyphens/>
        <w:spacing w:after="0"/>
        <w:rPr>
          <w:b w:val="0"/>
        </w:rPr>
      </w:pPr>
      <w:r w:rsidRPr="0048087A">
        <w:rPr>
          <w:b w:val="0"/>
        </w:rPr>
        <w:t xml:space="preserve">If there is any suspicion of active tuberculosis on CXR or </w:t>
      </w:r>
      <w:r>
        <w:rPr>
          <w:b w:val="0"/>
        </w:rPr>
        <w:t xml:space="preserve">current </w:t>
      </w:r>
      <w:r w:rsidRPr="0048087A">
        <w:rPr>
          <w:b w:val="0"/>
        </w:rPr>
        <w:t xml:space="preserve">symptoms suggestive of possible </w:t>
      </w:r>
      <w:r>
        <w:rPr>
          <w:b w:val="0"/>
        </w:rPr>
        <w:t>active TB disease</w:t>
      </w:r>
      <w:r w:rsidRPr="0048087A">
        <w:rPr>
          <w:b w:val="0"/>
        </w:rPr>
        <w:t xml:space="preserve">, </w:t>
      </w:r>
      <w:r>
        <w:rPr>
          <w:b w:val="0"/>
        </w:rPr>
        <w:t>three</w:t>
      </w:r>
      <w:r w:rsidRPr="0048087A">
        <w:rPr>
          <w:b w:val="0"/>
        </w:rPr>
        <w:t xml:space="preserve"> (induced) sputum for </w:t>
      </w:r>
      <w:r w:rsidRPr="0048087A">
        <w:rPr>
          <w:b w:val="0"/>
        </w:rPr>
        <w:lastRenderedPageBreak/>
        <w:t>mycobacterial culture should be obtained and negative</w:t>
      </w:r>
      <w:r>
        <w:rPr>
          <w:b w:val="0"/>
        </w:rPr>
        <w:t xml:space="preserve"> results confirmed</w:t>
      </w:r>
      <w:r w:rsidRPr="0048087A">
        <w:rPr>
          <w:b w:val="0"/>
        </w:rPr>
        <w:t xml:space="preserve"> prior to using </w:t>
      </w:r>
      <w:r>
        <w:rPr>
          <w:b w:val="0"/>
        </w:rPr>
        <w:t>r</w:t>
      </w:r>
      <w:r w:rsidRPr="0048087A">
        <w:rPr>
          <w:b w:val="0"/>
        </w:rPr>
        <w:t>ifapentine</w:t>
      </w:r>
      <w:r>
        <w:rPr>
          <w:b w:val="0"/>
        </w:rPr>
        <w:t>/INH.</w:t>
      </w:r>
    </w:p>
    <w:p w14:paraId="407EA742" w14:textId="749A0A08" w:rsidR="00874258" w:rsidRDefault="00874258" w:rsidP="00EB4FF2">
      <w:pPr>
        <w:pStyle w:val="Heading2"/>
        <w:numPr>
          <w:ilvl w:val="1"/>
          <w:numId w:val="3"/>
        </w:numPr>
        <w:tabs>
          <w:tab w:val="left" w:pos="-720"/>
          <w:tab w:val="left" w:pos="0"/>
        </w:tabs>
        <w:suppressAutoHyphens/>
        <w:spacing w:after="0"/>
        <w:rPr>
          <w:b w:val="0"/>
        </w:rPr>
      </w:pPr>
      <w:r>
        <w:rPr>
          <w:b w:val="0"/>
        </w:rPr>
        <w:t>Persons diagnosed with LTBI should be offered testing for HIV serology.</w:t>
      </w:r>
    </w:p>
    <w:p w14:paraId="3CCDC556" w14:textId="15D88F64" w:rsidR="00575848" w:rsidRDefault="00C9014A" w:rsidP="00EB4FF2">
      <w:pPr>
        <w:pStyle w:val="Heading2"/>
        <w:numPr>
          <w:ilvl w:val="1"/>
          <w:numId w:val="3"/>
        </w:numPr>
        <w:tabs>
          <w:tab w:val="left" w:pos="-720"/>
          <w:tab w:val="left" w:pos="0"/>
        </w:tabs>
        <w:suppressAutoHyphens/>
        <w:spacing w:after="0"/>
        <w:rPr>
          <w:b w:val="0"/>
        </w:rPr>
      </w:pPr>
      <w:r w:rsidRPr="0048087A">
        <w:rPr>
          <w:b w:val="0"/>
        </w:rPr>
        <w:t>If being treated in a remote northern community, t</w:t>
      </w:r>
      <w:r w:rsidR="00575848" w:rsidRPr="0048087A">
        <w:rPr>
          <w:b w:val="0"/>
        </w:rPr>
        <w:t xml:space="preserve">he Nursing Station </w:t>
      </w:r>
      <w:r w:rsidR="003E624A" w:rsidRPr="0048087A">
        <w:rPr>
          <w:b w:val="0"/>
        </w:rPr>
        <w:t>and/or Primary Care Provider</w:t>
      </w:r>
      <w:r w:rsidR="003E624A">
        <w:rPr>
          <w:b w:val="0"/>
        </w:rPr>
        <w:t xml:space="preserve"> </w:t>
      </w:r>
      <w:r w:rsidR="00575848">
        <w:rPr>
          <w:b w:val="0"/>
        </w:rPr>
        <w:t>must have the resources to be able to closely monitor a once weekly rifapentine/INH DOPT course of treatment.</w:t>
      </w:r>
    </w:p>
    <w:p w14:paraId="3D183B5A" w14:textId="77777777" w:rsidR="00575848" w:rsidRPr="00575848" w:rsidRDefault="00575848" w:rsidP="00EB4FF2">
      <w:pPr>
        <w:pStyle w:val="Heading2"/>
        <w:numPr>
          <w:ilvl w:val="1"/>
          <w:numId w:val="3"/>
        </w:numPr>
        <w:tabs>
          <w:tab w:val="left" w:pos="-720"/>
          <w:tab w:val="left" w:pos="0"/>
        </w:tabs>
        <w:suppressAutoHyphens/>
        <w:spacing w:after="0"/>
        <w:rPr>
          <w:b w:val="0"/>
        </w:rPr>
      </w:pPr>
      <w:r>
        <w:rPr>
          <w:b w:val="0"/>
        </w:rPr>
        <w:t xml:space="preserve">Rifapentine and </w:t>
      </w:r>
      <w:r w:rsidRPr="00575848">
        <w:rPr>
          <w:b w:val="0"/>
        </w:rPr>
        <w:t xml:space="preserve">INH combination therapy is </w:t>
      </w:r>
      <w:r w:rsidRPr="0067574D">
        <w:t>NOT recommended</w:t>
      </w:r>
      <w:r w:rsidRPr="00575848">
        <w:rPr>
          <w:b w:val="0"/>
        </w:rPr>
        <w:t xml:space="preserve"> in the following circumstances:</w:t>
      </w:r>
    </w:p>
    <w:p w14:paraId="65A9ADA1" w14:textId="77777777" w:rsidR="00575848" w:rsidRPr="00575848" w:rsidRDefault="00575848" w:rsidP="00575848">
      <w:pPr>
        <w:pStyle w:val="Heading2"/>
        <w:numPr>
          <w:ilvl w:val="2"/>
          <w:numId w:val="3"/>
        </w:numPr>
        <w:tabs>
          <w:tab w:val="left" w:pos="-720"/>
          <w:tab w:val="left" w:pos="0"/>
        </w:tabs>
        <w:suppressAutoHyphens/>
        <w:spacing w:after="0"/>
        <w:rPr>
          <w:b w:val="0"/>
        </w:rPr>
      </w:pPr>
      <w:r w:rsidRPr="00575848">
        <w:rPr>
          <w:b w:val="0"/>
          <w:shd w:val="clear" w:color="auto" w:fill="FFFFFF"/>
        </w:rPr>
        <w:t xml:space="preserve">Children aged &lt;2 years, because the safety and pharmacokinetics of </w:t>
      </w:r>
      <w:r>
        <w:rPr>
          <w:b w:val="0"/>
          <w:shd w:val="clear" w:color="auto" w:fill="FFFFFF"/>
        </w:rPr>
        <w:t xml:space="preserve">rifapentine </w:t>
      </w:r>
      <w:r w:rsidRPr="00575848">
        <w:rPr>
          <w:b w:val="0"/>
          <w:shd w:val="clear" w:color="auto" w:fill="FFFFFF"/>
        </w:rPr>
        <w:t>have not been established for them</w:t>
      </w:r>
    </w:p>
    <w:p w14:paraId="3976F3B2" w14:textId="77777777" w:rsidR="00575848" w:rsidRPr="00575848" w:rsidRDefault="00575848" w:rsidP="00575848">
      <w:pPr>
        <w:pStyle w:val="Heading2"/>
        <w:numPr>
          <w:ilvl w:val="2"/>
          <w:numId w:val="3"/>
        </w:numPr>
        <w:tabs>
          <w:tab w:val="left" w:pos="-720"/>
          <w:tab w:val="left" w:pos="0"/>
        </w:tabs>
        <w:suppressAutoHyphens/>
        <w:spacing w:after="0"/>
        <w:rPr>
          <w:b w:val="0"/>
        </w:rPr>
      </w:pPr>
      <w:r w:rsidRPr="00575848">
        <w:rPr>
          <w:b w:val="0"/>
          <w:shd w:val="clear" w:color="auto" w:fill="FFFFFF"/>
        </w:rPr>
        <w:t>HIV-infected patients receiving antiretroviral treatment, because the drug interactions have not been studied</w:t>
      </w:r>
    </w:p>
    <w:p w14:paraId="236FD752" w14:textId="77777777" w:rsidR="0067574D" w:rsidRPr="0067574D" w:rsidRDefault="00575848" w:rsidP="0067574D">
      <w:pPr>
        <w:pStyle w:val="Heading2"/>
        <w:numPr>
          <w:ilvl w:val="2"/>
          <w:numId w:val="3"/>
        </w:numPr>
        <w:tabs>
          <w:tab w:val="left" w:pos="-720"/>
          <w:tab w:val="left" w:pos="0"/>
        </w:tabs>
        <w:suppressAutoHyphens/>
        <w:spacing w:after="0"/>
        <w:rPr>
          <w:b w:val="0"/>
          <w:shd w:val="clear" w:color="auto" w:fill="FFFFFF"/>
        </w:rPr>
      </w:pPr>
      <w:r w:rsidRPr="00575848">
        <w:rPr>
          <w:b w:val="0"/>
          <w:shd w:val="clear" w:color="auto" w:fill="FFFFFF"/>
        </w:rPr>
        <w:t>Pregnant women or women expecting to become pregnant during treatment, as safety in pregnancy is unknown</w:t>
      </w:r>
    </w:p>
    <w:p w14:paraId="14A42E99" w14:textId="77777777" w:rsidR="0067574D" w:rsidRPr="0067574D" w:rsidRDefault="0067574D" w:rsidP="00575848">
      <w:pPr>
        <w:pStyle w:val="Heading2"/>
        <w:numPr>
          <w:ilvl w:val="2"/>
          <w:numId w:val="3"/>
        </w:numPr>
        <w:tabs>
          <w:tab w:val="left" w:pos="-720"/>
          <w:tab w:val="left" w:pos="0"/>
        </w:tabs>
        <w:suppressAutoHyphens/>
        <w:spacing w:after="0"/>
        <w:rPr>
          <w:b w:val="0"/>
        </w:rPr>
      </w:pPr>
      <w:r>
        <w:rPr>
          <w:b w:val="0"/>
        </w:rPr>
        <w:t>Persons with a history of previous adverse reactions to rifampin (such as hypersensitivity or thrombocytopenia)</w:t>
      </w:r>
    </w:p>
    <w:p w14:paraId="799C53D5" w14:textId="77777777" w:rsidR="00EB4FF2" w:rsidRPr="0067574D" w:rsidRDefault="00575848" w:rsidP="00EB4FF2">
      <w:pPr>
        <w:pStyle w:val="Heading2"/>
        <w:numPr>
          <w:ilvl w:val="2"/>
          <w:numId w:val="3"/>
        </w:numPr>
        <w:tabs>
          <w:tab w:val="left" w:pos="-720"/>
          <w:tab w:val="left" w:pos="0"/>
        </w:tabs>
        <w:suppressAutoHyphens/>
        <w:spacing w:after="0"/>
        <w:rPr>
          <w:b w:val="0"/>
        </w:rPr>
      </w:pPr>
      <w:r w:rsidRPr="00575848">
        <w:rPr>
          <w:b w:val="0"/>
          <w:shd w:val="clear" w:color="auto" w:fill="FFFFFF"/>
        </w:rPr>
        <w:t>P</w:t>
      </w:r>
      <w:r>
        <w:rPr>
          <w:b w:val="0"/>
          <w:shd w:val="clear" w:color="auto" w:fill="FFFFFF"/>
        </w:rPr>
        <w:t>ersons</w:t>
      </w:r>
      <w:r w:rsidRPr="00575848">
        <w:rPr>
          <w:b w:val="0"/>
          <w:shd w:val="clear" w:color="auto" w:fill="FFFFFF"/>
        </w:rPr>
        <w:t xml:space="preserve"> who have LTBI with presumed INH or </w:t>
      </w:r>
      <w:r>
        <w:rPr>
          <w:b w:val="0"/>
          <w:shd w:val="clear" w:color="auto" w:fill="FFFFFF"/>
        </w:rPr>
        <w:t xml:space="preserve">rifampin </w:t>
      </w:r>
      <w:r w:rsidRPr="00575848">
        <w:rPr>
          <w:b w:val="0"/>
          <w:shd w:val="clear" w:color="auto" w:fill="FFFFFF"/>
        </w:rPr>
        <w:t>resistance</w:t>
      </w:r>
      <w:r>
        <w:rPr>
          <w:b w:val="0"/>
          <w:shd w:val="clear" w:color="auto" w:fill="FFFFFF"/>
        </w:rPr>
        <w:t>.</w:t>
      </w:r>
    </w:p>
    <w:p w14:paraId="7D4911AE" w14:textId="77777777" w:rsidR="00EB4FF2" w:rsidRDefault="00EB4FF2" w:rsidP="00EB4FF2">
      <w:pPr>
        <w:pStyle w:val="Heading2"/>
        <w:tabs>
          <w:tab w:val="left" w:pos="-720"/>
          <w:tab w:val="left" w:pos="0"/>
        </w:tabs>
        <w:suppressAutoHyphens/>
        <w:spacing w:after="0"/>
        <w:ind w:left="420"/>
      </w:pPr>
    </w:p>
    <w:p w14:paraId="7738316D" w14:textId="77777777" w:rsidR="0067574D" w:rsidRDefault="0067574D" w:rsidP="008C27B5">
      <w:pPr>
        <w:pStyle w:val="Heading2"/>
        <w:numPr>
          <w:ilvl w:val="0"/>
          <w:numId w:val="3"/>
        </w:numPr>
        <w:tabs>
          <w:tab w:val="left" w:pos="-720"/>
          <w:tab w:val="left" w:pos="0"/>
        </w:tabs>
        <w:suppressAutoHyphens/>
        <w:spacing w:after="0"/>
      </w:pPr>
      <w:r>
        <w:t>MEDICATION ADMINISTRATION</w:t>
      </w:r>
    </w:p>
    <w:p w14:paraId="41CD0E1F" w14:textId="165D5F17" w:rsidR="007E6EAB" w:rsidRDefault="007E6EAB" w:rsidP="007E6EAB">
      <w:pPr>
        <w:pStyle w:val="Heading2"/>
        <w:numPr>
          <w:ilvl w:val="1"/>
          <w:numId w:val="3"/>
        </w:numPr>
        <w:tabs>
          <w:tab w:val="left" w:pos="-720"/>
          <w:tab w:val="left" w:pos="0"/>
        </w:tabs>
        <w:suppressAutoHyphens/>
        <w:spacing w:after="0"/>
        <w:rPr>
          <w:b w:val="0"/>
        </w:rPr>
      </w:pPr>
      <w:r w:rsidRPr="00066D2F">
        <w:rPr>
          <w:b w:val="0"/>
        </w:rPr>
        <w:t>Rifapentine and INH must be administered by DO</w:t>
      </w:r>
      <w:r>
        <w:rPr>
          <w:b w:val="0"/>
        </w:rPr>
        <w:t>P</w:t>
      </w:r>
      <w:r w:rsidRPr="00066D2F">
        <w:rPr>
          <w:b w:val="0"/>
        </w:rPr>
        <w:t>T once weekly</w:t>
      </w:r>
      <w:r w:rsidR="00005450">
        <w:rPr>
          <w:b w:val="0"/>
        </w:rPr>
        <w:t xml:space="preserve"> </w:t>
      </w:r>
      <w:r w:rsidR="00C80808">
        <w:rPr>
          <w:b w:val="0"/>
        </w:rPr>
        <w:t>for 12 weeks</w:t>
      </w:r>
      <w:r w:rsidR="00005450">
        <w:rPr>
          <w:b w:val="0"/>
        </w:rPr>
        <w:t>.</w:t>
      </w:r>
    </w:p>
    <w:p w14:paraId="72A387E9" w14:textId="3514651A" w:rsidR="007E6EAB" w:rsidRPr="007E6EAB" w:rsidRDefault="007E6EAB" w:rsidP="007E6EAB">
      <w:pPr>
        <w:pStyle w:val="Heading2"/>
        <w:numPr>
          <w:ilvl w:val="1"/>
          <w:numId w:val="3"/>
        </w:numPr>
        <w:tabs>
          <w:tab w:val="left" w:pos="-720"/>
          <w:tab w:val="left" w:pos="0"/>
        </w:tabs>
        <w:suppressAutoHyphens/>
        <w:spacing w:after="0"/>
        <w:rPr>
          <w:b w:val="0"/>
        </w:rPr>
      </w:pPr>
      <w:r>
        <w:rPr>
          <w:b w:val="0"/>
        </w:rPr>
        <w:t>Weekly DOPT administration of rifapentine and INH must be accompanied by a complete assessment for adverse effects (see appendix</w:t>
      </w:r>
      <w:r w:rsidR="00DF03B8">
        <w:rPr>
          <w:b w:val="0"/>
        </w:rPr>
        <w:t xml:space="preserve"> 1</w:t>
      </w:r>
      <w:r>
        <w:rPr>
          <w:b w:val="0"/>
        </w:rPr>
        <w:t xml:space="preserve"> for </w:t>
      </w:r>
      <w:r w:rsidR="00917DCE" w:rsidRPr="000B1D77">
        <w:rPr>
          <w:b w:val="0"/>
          <w:shd w:val="clear" w:color="auto" w:fill="FFFFFF"/>
        </w:rPr>
        <w:t>Latent Tuberculosis Infection Directly-Observed Preventive Therapy Tracking Record</w:t>
      </w:r>
      <w:r w:rsidR="00917DCE">
        <w:rPr>
          <w:b w:val="0"/>
          <w:shd w:val="clear" w:color="auto" w:fill="FFFFFF"/>
        </w:rPr>
        <w:t>)</w:t>
      </w:r>
      <w:r w:rsidR="00066D2F" w:rsidRPr="00066D2F">
        <w:rPr>
          <w:b w:val="0"/>
        </w:rPr>
        <w:t>.</w:t>
      </w:r>
    </w:p>
    <w:p w14:paraId="06A1EEE2" w14:textId="4AC4851A" w:rsidR="00066D2F" w:rsidRPr="00066D2F" w:rsidRDefault="00066D2F" w:rsidP="0067574D">
      <w:pPr>
        <w:pStyle w:val="Heading2"/>
        <w:numPr>
          <w:ilvl w:val="1"/>
          <w:numId w:val="3"/>
        </w:numPr>
        <w:tabs>
          <w:tab w:val="left" w:pos="-720"/>
          <w:tab w:val="left" w:pos="0"/>
        </w:tabs>
        <w:suppressAutoHyphens/>
        <w:spacing w:after="0"/>
        <w:rPr>
          <w:b w:val="0"/>
        </w:rPr>
      </w:pPr>
      <w:r w:rsidRPr="00066D2F">
        <w:rPr>
          <w:b w:val="0"/>
          <w:shd w:val="clear" w:color="auto" w:fill="FFFFFF"/>
        </w:rPr>
        <w:t xml:space="preserve">Completion of rifapentine and INH will be defined as </w:t>
      </w:r>
      <w:r w:rsidR="00D557E3">
        <w:rPr>
          <w:b w:val="0"/>
          <w:shd w:val="clear" w:color="auto" w:fill="FFFFFF"/>
        </w:rPr>
        <w:t xml:space="preserve">at least </w:t>
      </w:r>
      <w:r w:rsidRPr="00066D2F">
        <w:rPr>
          <w:b w:val="0"/>
          <w:shd w:val="clear" w:color="auto" w:fill="FFFFFF"/>
        </w:rPr>
        <w:t>1</w:t>
      </w:r>
      <w:r w:rsidR="00C17309">
        <w:rPr>
          <w:b w:val="0"/>
          <w:shd w:val="clear" w:color="auto" w:fill="FFFFFF"/>
        </w:rPr>
        <w:t>1</w:t>
      </w:r>
      <w:r w:rsidRPr="00066D2F">
        <w:rPr>
          <w:b w:val="0"/>
          <w:shd w:val="clear" w:color="auto" w:fill="FFFFFF"/>
        </w:rPr>
        <w:t xml:space="preserve"> </w:t>
      </w:r>
      <w:r w:rsidRPr="00066D2F">
        <w:rPr>
          <w:b w:val="0"/>
          <w:u w:val="single"/>
          <w:shd w:val="clear" w:color="auto" w:fill="FFFFFF"/>
        </w:rPr>
        <w:t>weekly</w:t>
      </w:r>
      <w:r w:rsidRPr="00066D2F">
        <w:rPr>
          <w:b w:val="0"/>
          <w:shd w:val="clear" w:color="auto" w:fill="FFFFFF"/>
        </w:rPr>
        <w:t xml:space="preserve"> doses </w:t>
      </w:r>
      <w:r w:rsidR="00C9014A">
        <w:rPr>
          <w:b w:val="0"/>
          <w:shd w:val="clear" w:color="auto" w:fill="FFFFFF"/>
        </w:rPr>
        <w:t xml:space="preserve">administered </w:t>
      </w:r>
      <w:r w:rsidRPr="00066D2F">
        <w:rPr>
          <w:b w:val="0"/>
          <w:shd w:val="clear" w:color="auto" w:fill="FFFFFF"/>
        </w:rPr>
        <w:t>within 16 weeks of treatment start; doses must be separated by &gt; 72 hours to count.</w:t>
      </w:r>
      <w:r w:rsidR="00CB1C16">
        <w:rPr>
          <w:b w:val="0"/>
          <w:shd w:val="clear" w:color="auto" w:fill="FFFFFF"/>
        </w:rPr>
        <w:t xml:space="preserve">  Doses should not be routinely administered at a 72-hour interval.  Any </w:t>
      </w:r>
      <w:r w:rsidR="00CB1C16" w:rsidRPr="008F5DBF">
        <w:rPr>
          <w:u w:val="single"/>
          <w:shd w:val="clear" w:color="auto" w:fill="FFFFFF"/>
        </w:rPr>
        <w:t>single</w:t>
      </w:r>
      <w:r w:rsidR="00CB1C16">
        <w:rPr>
          <w:b w:val="0"/>
          <w:shd w:val="clear" w:color="auto" w:fill="FFFFFF"/>
        </w:rPr>
        <w:t xml:space="preserve"> ‘catch up’ dose administered </w:t>
      </w:r>
      <w:r w:rsidR="00CB1C16">
        <w:rPr>
          <w:b w:val="0"/>
          <w:shd w:val="clear" w:color="auto" w:fill="FFFFFF"/>
        </w:rPr>
        <w:lastRenderedPageBreak/>
        <w:t>within a &lt;</w:t>
      </w:r>
      <w:proofErr w:type="gramStart"/>
      <w:r w:rsidR="00CB1C16">
        <w:rPr>
          <w:b w:val="0"/>
          <w:shd w:val="clear" w:color="auto" w:fill="FFFFFF"/>
        </w:rPr>
        <w:t>6 day</w:t>
      </w:r>
      <w:proofErr w:type="gramEnd"/>
      <w:r w:rsidR="00CB1C16">
        <w:rPr>
          <w:b w:val="0"/>
          <w:shd w:val="clear" w:color="auto" w:fill="FFFFFF"/>
        </w:rPr>
        <w:t xml:space="preserve"> interval should include planning for the next dose to be no less than 7 days later.</w:t>
      </w:r>
    </w:p>
    <w:p w14:paraId="1715A05E" w14:textId="4E80BFD9" w:rsidR="00005450" w:rsidRPr="00005450" w:rsidRDefault="00356C92" w:rsidP="00005450">
      <w:pPr>
        <w:pStyle w:val="Heading2"/>
        <w:numPr>
          <w:ilvl w:val="1"/>
          <w:numId w:val="3"/>
        </w:numPr>
        <w:tabs>
          <w:tab w:val="left" w:pos="-720"/>
          <w:tab w:val="left" w:pos="0"/>
        </w:tabs>
        <w:suppressAutoHyphens/>
        <w:spacing w:after="0"/>
        <w:rPr>
          <w:b w:val="0"/>
          <w:shd w:val="clear" w:color="auto" w:fill="FFFFFF"/>
        </w:rPr>
      </w:pPr>
      <w:r w:rsidRPr="00066D2F">
        <w:rPr>
          <w:b w:val="0"/>
        </w:rPr>
        <w:t xml:space="preserve">Dosage of INH </w:t>
      </w:r>
      <w:r>
        <w:rPr>
          <w:b w:val="0"/>
        </w:rPr>
        <w:t>for adults and children older than 11 years</w:t>
      </w:r>
      <w:r w:rsidRPr="00066D2F">
        <w:rPr>
          <w:b w:val="0"/>
        </w:rPr>
        <w:t xml:space="preserve"> </w:t>
      </w:r>
      <w:r w:rsidR="00066D2F" w:rsidRPr="00066D2F">
        <w:rPr>
          <w:b w:val="0"/>
        </w:rPr>
        <w:t xml:space="preserve">is </w:t>
      </w:r>
      <w:r w:rsidR="00066D2F" w:rsidRPr="00066D2F">
        <w:rPr>
          <w:b w:val="0"/>
          <w:shd w:val="clear" w:color="auto" w:fill="FFFFFF"/>
        </w:rPr>
        <w:t>15 mg/kg rounded up to the nearest 50 or 100 mg; 900 mg maximum</w:t>
      </w:r>
      <w:r w:rsidR="005F001F">
        <w:rPr>
          <w:b w:val="0"/>
          <w:shd w:val="clear" w:color="auto" w:fill="FFFFFF"/>
        </w:rPr>
        <w:t>.</w:t>
      </w:r>
    </w:p>
    <w:p w14:paraId="75293B39" w14:textId="49D1FAF5" w:rsidR="00005450" w:rsidRDefault="00005450" w:rsidP="00005450">
      <w:pPr>
        <w:pStyle w:val="Heading2"/>
        <w:numPr>
          <w:ilvl w:val="2"/>
          <w:numId w:val="3"/>
        </w:numPr>
        <w:tabs>
          <w:tab w:val="left" w:pos="-720"/>
          <w:tab w:val="left" w:pos="0"/>
        </w:tabs>
        <w:suppressAutoHyphens/>
        <w:spacing w:after="0"/>
        <w:rPr>
          <w:b w:val="0"/>
        </w:rPr>
      </w:pPr>
      <w:r>
        <w:rPr>
          <w:b w:val="0"/>
        </w:rPr>
        <w:t>Vitamin B6 (pyridoxine) 50 mg should also be administered once weekly.</w:t>
      </w:r>
    </w:p>
    <w:p w14:paraId="37D8112A" w14:textId="77777777" w:rsidR="00066D2F" w:rsidRDefault="00066D2F" w:rsidP="0067574D">
      <w:pPr>
        <w:pStyle w:val="Heading2"/>
        <w:numPr>
          <w:ilvl w:val="1"/>
          <w:numId w:val="3"/>
        </w:numPr>
        <w:tabs>
          <w:tab w:val="left" w:pos="-720"/>
          <w:tab w:val="left" w:pos="0"/>
        </w:tabs>
        <w:suppressAutoHyphens/>
        <w:spacing w:after="0"/>
        <w:rPr>
          <w:b w:val="0"/>
        </w:rPr>
      </w:pPr>
      <w:r>
        <w:rPr>
          <w:b w:val="0"/>
        </w:rPr>
        <w:t>Dosage of rifapentine is based on weight ranges as follows:</w:t>
      </w:r>
    </w:p>
    <w:p w14:paraId="771741C2" w14:textId="77777777" w:rsidR="00066D2F" w:rsidRDefault="00066D2F" w:rsidP="00066D2F">
      <w:pPr>
        <w:pStyle w:val="Heading2"/>
        <w:numPr>
          <w:ilvl w:val="2"/>
          <w:numId w:val="3"/>
        </w:numPr>
        <w:tabs>
          <w:tab w:val="left" w:pos="-720"/>
          <w:tab w:val="left" w:pos="0"/>
        </w:tabs>
        <w:suppressAutoHyphens/>
        <w:spacing w:after="0"/>
        <w:rPr>
          <w:b w:val="0"/>
        </w:rPr>
      </w:pPr>
      <w:r>
        <w:rPr>
          <w:b w:val="0"/>
        </w:rPr>
        <w:t>10.0-14.0 kg = 300 mg</w:t>
      </w:r>
    </w:p>
    <w:p w14:paraId="5242B6F2" w14:textId="77777777" w:rsidR="00066D2F" w:rsidRDefault="00066D2F" w:rsidP="00066D2F">
      <w:pPr>
        <w:pStyle w:val="Heading2"/>
        <w:numPr>
          <w:ilvl w:val="2"/>
          <w:numId w:val="3"/>
        </w:numPr>
        <w:tabs>
          <w:tab w:val="left" w:pos="-720"/>
          <w:tab w:val="left" w:pos="0"/>
        </w:tabs>
        <w:suppressAutoHyphens/>
        <w:spacing w:after="0"/>
        <w:rPr>
          <w:b w:val="0"/>
        </w:rPr>
      </w:pPr>
      <w:r>
        <w:rPr>
          <w:b w:val="0"/>
        </w:rPr>
        <w:t>14.1-25.0 kg = 450 mg</w:t>
      </w:r>
    </w:p>
    <w:p w14:paraId="64714B56" w14:textId="77777777" w:rsidR="00066D2F" w:rsidRDefault="00066D2F" w:rsidP="00066D2F">
      <w:pPr>
        <w:pStyle w:val="Heading2"/>
        <w:numPr>
          <w:ilvl w:val="2"/>
          <w:numId w:val="3"/>
        </w:numPr>
        <w:tabs>
          <w:tab w:val="left" w:pos="-720"/>
          <w:tab w:val="left" w:pos="0"/>
        </w:tabs>
        <w:suppressAutoHyphens/>
        <w:spacing w:after="0"/>
        <w:rPr>
          <w:b w:val="0"/>
        </w:rPr>
      </w:pPr>
      <w:r>
        <w:rPr>
          <w:b w:val="0"/>
        </w:rPr>
        <w:t>25.1-32.0 kg = 600 mg</w:t>
      </w:r>
    </w:p>
    <w:p w14:paraId="696411E2" w14:textId="77777777" w:rsidR="00066D2F" w:rsidRDefault="00066D2F" w:rsidP="00066D2F">
      <w:pPr>
        <w:pStyle w:val="Heading2"/>
        <w:numPr>
          <w:ilvl w:val="2"/>
          <w:numId w:val="3"/>
        </w:numPr>
        <w:tabs>
          <w:tab w:val="left" w:pos="-720"/>
          <w:tab w:val="left" w:pos="0"/>
        </w:tabs>
        <w:suppressAutoHyphens/>
        <w:spacing w:after="0"/>
        <w:rPr>
          <w:b w:val="0"/>
        </w:rPr>
      </w:pPr>
      <w:r>
        <w:rPr>
          <w:b w:val="0"/>
        </w:rPr>
        <w:t>32.1-49.9 kg = 750 mg</w:t>
      </w:r>
    </w:p>
    <w:p w14:paraId="3F0EFDAB" w14:textId="44156085" w:rsidR="0067574D" w:rsidRPr="0032387A" w:rsidRDefault="00066D2F" w:rsidP="0067574D">
      <w:pPr>
        <w:pStyle w:val="Heading2"/>
        <w:numPr>
          <w:ilvl w:val="2"/>
          <w:numId w:val="3"/>
        </w:numPr>
        <w:tabs>
          <w:tab w:val="left" w:pos="-720"/>
          <w:tab w:val="left" w:pos="0"/>
        </w:tabs>
        <w:suppressAutoHyphens/>
        <w:spacing w:after="0"/>
        <w:rPr>
          <w:b w:val="0"/>
        </w:rPr>
      </w:pPr>
      <w:r w:rsidRPr="00066D2F">
        <w:rPr>
          <w:b w:val="0"/>
          <w:u w:val="single"/>
        </w:rPr>
        <w:t>&gt;</w:t>
      </w:r>
      <w:r>
        <w:rPr>
          <w:b w:val="0"/>
        </w:rPr>
        <w:t>50 kg = 900 mg (maximum)</w:t>
      </w:r>
      <w:r w:rsidR="005F001F">
        <w:rPr>
          <w:b w:val="0"/>
        </w:rPr>
        <w:t>.</w:t>
      </w:r>
    </w:p>
    <w:p w14:paraId="603B1E4F" w14:textId="77777777" w:rsidR="00356C92" w:rsidRDefault="00356C92" w:rsidP="00356C92"/>
    <w:p w14:paraId="57069BEF" w14:textId="77777777" w:rsidR="00356C92" w:rsidRPr="00DC188A" w:rsidRDefault="00356C92" w:rsidP="00356C92">
      <w:pPr>
        <w:pStyle w:val="Heading2"/>
        <w:numPr>
          <w:ilvl w:val="1"/>
          <w:numId w:val="3"/>
        </w:numPr>
        <w:tabs>
          <w:tab w:val="left" w:pos="-720"/>
          <w:tab w:val="left" w:pos="0"/>
        </w:tabs>
        <w:suppressAutoHyphens/>
        <w:spacing w:after="0"/>
        <w:rPr>
          <w:b w:val="0"/>
          <w:shd w:val="clear" w:color="auto" w:fill="FFFFFF"/>
        </w:rPr>
      </w:pPr>
      <w:r w:rsidRPr="00066D2F">
        <w:rPr>
          <w:b w:val="0"/>
        </w:rPr>
        <w:t xml:space="preserve">Dosage of INH </w:t>
      </w:r>
      <w:r>
        <w:rPr>
          <w:b w:val="0"/>
        </w:rPr>
        <w:t xml:space="preserve">for children aged 2-11 years </w:t>
      </w:r>
      <w:r w:rsidRPr="00066D2F">
        <w:rPr>
          <w:b w:val="0"/>
        </w:rPr>
        <w:t xml:space="preserve">is </w:t>
      </w:r>
      <w:r>
        <w:rPr>
          <w:b w:val="0"/>
          <w:shd w:val="clear" w:color="auto" w:fill="FFFFFF"/>
        </w:rPr>
        <w:t>2</w:t>
      </w:r>
      <w:r w:rsidRPr="00066D2F">
        <w:rPr>
          <w:b w:val="0"/>
          <w:shd w:val="clear" w:color="auto" w:fill="FFFFFF"/>
        </w:rPr>
        <w:t>5 mg/kg; 900 mg maximum</w:t>
      </w:r>
      <w:r>
        <w:rPr>
          <w:b w:val="0"/>
          <w:shd w:val="clear" w:color="auto" w:fill="FFFFFF"/>
        </w:rPr>
        <w:t>.</w:t>
      </w:r>
    </w:p>
    <w:p w14:paraId="3D26588C" w14:textId="77777777" w:rsidR="0032387A" w:rsidRDefault="0032387A" w:rsidP="00356C92">
      <w:pPr>
        <w:pStyle w:val="Heading2"/>
        <w:tabs>
          <w:tab w:val="left" w:pos="-720"/>
          <w:tab w:val="left" w:pos="0"/>
        </w:tabs>
        <w:suppressAutoHyphens/>
        <w:spacing w:after="0"/>
      </w:pPr>
    </w:p>
    <w:p w14:paraId="031FBB05" w14:textId="77777777" w:rsidR="0023141C" w:rsidRDefault="0023141C" w:rsidP="008C27B5">
      <w:pPr>
        <w:pStyle w:val="Heading2"/>
        <w:numPr>
          <w:ilvl w:val="0"/>
          <w:numId w:val="3"/>
        </w:numPr>
        <w:tabs>
          <w:tab w:val="left" w:pos="-720"/>
          <w:tab w:val="left" w:pos="0"/>
        </w:tabs>
        <w:suppressAutoHyphens/>
        <w:spacing w:after="0"/>
      </w:pPr>
      <w:r>
        <w:t>C</w:t>
      </w:r>
      <w:r w:rsidR="0032387A">
        <w:t xml:space="preserve">AUTIONS AND </w:t>
      </w:r>
      <w:r>
        <w:t>D</w:t>
      </w:r>
      <w:r w:rsidR="0032387A">
        <w:t>RUG</w:t>
      </w:r>
      <w:r>
        <w:t xml:space="preserve"> I</w:t>
      </w:r>
      <w:r w:rsidR="0032387A">
        <w:t>NTERACTIONS</w:t>
      </w:r>
    </w:p>
    <w:p w14:paraId="73565F38" w14:textId="77777777" w:rsidR="0023141C" w:rsidRDefault="0032387A" w:rsidP="0023141C">
      <w:pPr>
        <w:pStyle w:val="Heading2"/>
        <w:numPr>
          <w:ilvl w:val="1"/>
          <w:numId w:val="3"/>
        </w:numPr>
        <w:tabs>
          <w:tab w:val="left" w:pos="-720"/>
          <w:tab w:val="left" w:pos="0"/>
        </w:tabs>
        <w:suppressAutoHyphens/>
        <w:spacing w:after="0"/>
        <w:rPr>
          <w:b w:val="0"/>
        </w:rPr>
      </w:pPr>
      <w:r>
        <w:rPr>
          <w:b w:val="0"/>
        </w:rPr>
        <w:t xml:space="preserve">There is no data on the use of rifapentine in </w:t>
      </w:r>
      <w:r w:rsidR="0023141C" w:rsidRPr="005B7797">
        <w:rPr>
          <w:b w:val="0"/>
        </w:rPr>
        <w:t xml:space="preserve">pregnancy </w:t>
      </w:r>
      <w:r>
        <w:rPr>
          <w:b w:val="0"/>
        </w:rPr>
        <w:t>or with nursing mothers; hence it should not be administered in these settings</w:t>
      </w:r>
      <w:r w:rsidR="0023141C">
        <w:rPr>
          <w:b w:val="0"/>
        </w:rPr>
        <w:t>.</w:t>
      </w:r>
      <w:r w:rsidR="00D557E3">
        <w:rPr>
          <w:b w:val="0"/>
        </w:rPr>
        <w:t xml:space="preserve">  Women of childbearing age who will be prescribed rifapentine/INH should be counseled to avoid pregnancy, with fertility control methods offered if appropriate (keeping in mind interaction between rifapentine and oral contraceptives).  If pregnancy is suspected during the course of treatment with rifapentine/INH, treatment should be discontinued, a pregnancy test ordered, and the prescribing clinician should be notified.</w:t>
      </w:r>
    </w:p>
    <w:p w14:paraId="538FCE39" w14:textId="77777777" w:rsidR="0032387A" w:rsidRPr="0032387A" w:rsidRDefault="0032387A" w:rsidP="00947C40">
      <w:pPr>
        <w:pStyle w:val="Heading2"/>
        <w:numPr>
          <w:ilvl w:val="1"/>
          <w:numId w:val="3"/>
        </w:numPr>
        <w:tabs>
          <w:tab w:val="left" w:pos="-720"/>
          <w:tab w:val="left" w:pos="0"/>
        </w:tabs>
        <w:suppressAutoHyphens/>
        <w:spacing w:after="0"/>
        <w:rPr>
          <w:b w:val="0"/>
        </w:rPr>
      </w:pPr>
      <w:r w:rsidRPr="0032387A">
        <w:rPr>
          <w:b w:val="0"/>
          <w:shd w:val="clear" w:color="auto" w:fill="FFFFFF"/>
        </w:rPr>
        <w:t>R</w:t>
      </w:r>
      <w:r>
        <w:rPr>
          <w:b w:val="0"/>
          <w:shd w:val="clear" w:color="auto" w:fill="FFFFFF"/>
        </w:rPr>
        <w:t xml:space="preserve">ifapentine </w:t>
      </w:r>
      <w:r w:rsidRPr="0032387A">
        <w:rPr>
          <w:b w:val="0"/>
          <w:shd w:val="clear" w:color="auto" w:fill="FFFFFF"/>
        </w:rPr>
        <w:t>reddens secretions, including urine and tears, and can stain contact lenses</w:t>
      </w:r>
      <w:r w:rsidR="00D557E3">
        <w:rPr>
          <w:b w:val="0"/>
          <w:shd w:val="clear" w:color="auto" w:fill="FFFFFF"/>
        </w:rPr>
        <w:t>; to avoid this staining it may be prudent to recommend using glasses instead of contact lenses for the duration of treatment.</w:t>
      </w:r>
    </w:p>
    <w:p w14:paraId="4EE73A3F" w14:textId="4A67E3A7" w:rsidR="0023141C" w:rsidRPr="0041629F" w:rsidRDefault="0023141C" w:rsidP="00947C40">
      <w:pPr>
        <w:pStyle w:val="Heading2"/>
        <w:numPr>
          <w:ilvl w:val="1"/>
          <w:numId w:val="3"/>
        </w:numPr>
        <w:tabs>
          <w:tab w:val="left" w:pos="-720"/>
          <w:tab w:val="left" w:pos="0"/>
        </w:tabs>
        <w:suppressAutoHyphens/>
        <w:spacing w:after="0"/>
      </w:pPr>
      <w:r w:rsidRPr="0041629F">
        <w:rPr>
          <w:b w:val="0"/>
        </w:rPr>
        <w:t xml:space="preserve">Initiation of concomitant warfarin, oral contraceptives, </w:t>
      </w:r>
      <w:r w:rsidR="004E7FDB">
        <w:rPr>
          <w:b w:val="0"/>
        </w:rPr>
        <w:t xml:space="preserve">corticosteroids, </w:t>
      </w:r>
      <w:r w:rsidRPr="0041629F">
        <w:rPr>
          <w:b w:val="0"/>
        </w:rPr>
        <w:t xml:space="preserve">methadone, sulfonylureas, benzodiazepines, digoxin, beta-blockers, </w:t>
      </w:r>
      <w:r w:rsidR="004E7FDB">
        <w:rPr>
          <w:b w:val="0"/>
        </w:rPr>
        <w:t xml:space="preserve">calcium channel blockers, </w:t>
      </w:r>
      <w:r w:rsidRPr="0041629F">
        <w:rPr>
          <w:b w:val="0"/>
        </w:rPr>
        <w:t xml:space="preserve">anticonvulsants, </w:t>
      </w:r>
      <w:r w:rsidR="004E7FDB">
        <w:rPr>
          <w:b w:val="0"/>
        </w:rPr>
        <w:t>macrolide antibiotics</w:t>
      </w:r>
      <w:r w:rsidRPr="0041629F">
        <w:rPr>
          <w:b w:val="0"/>
        </w:rPr>
        <w:t xml:space="preserve">, </w:t>
      </w:r>
      <w:r w:rsidR="004E7FDB">
        <w:rPr>
          <w:b w:val="0"/>
        </w:rPr>
        <w:t xml:space="preserve">quinolone antibiotics, azole antifungals, </w:t>
      </w:r>
      <w:r w:rsidRPr="0041629F">
        <w:rPr>
          <w:b w:val="0"/>
        </w:rPr>
        <w:t>or immunosuppre</w:t>
      </w:r>
      <w:r>
        <w:rPr>
          <w:b w:val="0"/>
        </w:rPr>
        <w:t>s</w:t>
      </w:r>
      <w:r w:rsidRPr="0041629F">
        <w:rPr>
          <w:b w:val="0"/>
        </w:rPr>
        <w:t>sants</w:t>
      </w:r>
      <w:r w:rsidR="004E7FDB">
        <w:rPr>
          <w:b w:val="0"/>
        </w:rPr>
        <w:t xml:space="preserve"> (i.e., cyclosporine)</w:t>
      </w:r>
      <w:r w:rsidRPr="0041629F">
        <w:rPr>
          <w:b w:val="0"/>
        </w:rPr>
        <w:t xml:space="preserve"> during treatment with </w:t>
      </w:r>
      <w:r w:rsidR="0032387A">
        <w:rPr>
          <w:b w:val="0"/>
        </w:rPr>
        <w:t>rifapentine</w:t>
      </w:r>
      <w:r w:rsidRPr="0041629F">
        <w:rPr>
          <w:b w:val="0"/>
        </w:rPr>
        <w:t xml:space="preserve"> requires review by the prescribing </w:t>
      </w:r>
      <w:r w:rsidR="0032387A">
        <w:rPr>
          <w:b w:val="0"/>
        </w:rPr>
        <w:lastRenderedPageBreak/>
        <w:t>clinician</w:t>
      </w:r>
      <w:r w:rsidRPr="0041629F">
        <w:rPr>
          <w:b w:val="0"/>
        </w:rPr>
        <w:t xml:space="preserve"> given the drug-drug interaction</w:t>
      </w:r>
      <w:r>
        <w:rPr>
          <w:b w:val="0"/>
        </w:rPr>
        <w:t>s</w:t>
      </w:r>
      <w:r w:rsidRPr="0041629F">
        <w:rPr>
          <w:b w:val="0"/>
        </w:rPr>
        <w:t xml:space="preserve">, and discussion with a TB </w:t>
      </w:r>
      <w:r>
        <w:rPr>
          <w:b w:val="0"/>
        </w:rPr>
        <w:t xml:space="preserve">specialist </w:t>
      </w:r>
      <w:r w:rsidR="00C9014A">
        <w:rPr>
          <w:b w:val="0"/>
        </w:rPr>
        <w:t xml:space="preserve">is recommended </w:t>
      </w:r>
      <w:r w:rsidRPr="0041629F">
        <w:rPr>
          <w:b w:val="0"/>
        </w:rPr>
        <w:t>if concerns persist.</w:t>
      </w:r>
    </w:p>
    <w:p w14:paraId="17B25F0D" w14:textId="77777777" w:rsidR="0023141C" w:rsidRDefault="0023141C" w:rsidP="0023141C">
      <w:pPr>
        <w:pStyle w:val="Heading2"/>
        <w:numPr>
          <w:ilvl w:val="1"/>
          <w:numId w:val="3"/>
        </w:numPr>
        <w:tabs>
          <w:tab w:val="left" w:pos="-720"/>
          <w:tab w:val="left" w:pos="0"/>
        </w:tabs>
        <w:suppressAutoHyphens/>
        <w:spacing w:after="0"/>
        <w:rPr>
          <w:b w:val="0"/>
        </w:rPr>
      </w:pPr>
      <w:r w:rsidRPr="0041629F">
        <w:rPr>
          <w:b w:val="0"/>
        </w:rPr>
        <w:t>Rifa</w:t>
      </w:r>
      <w:r w:rsidR="0032387A">
        <w:rPr>
          <w:b w:val="0"/>
        </w:rPr>
        <w:t xml:space="preserve">pentine </w:t>
      </w:r>
      <w:r w:rsidRPr="0041629F">
        <w:rPr>
          <w:b w:val="0"/>
        </w:rPr>
        <w:t>is contraindicated</w:t>
      </w:r>
      <w:r w:rsidRPr="008905B3">
        <w:rPr>
          <w:b w:val="0"/>
        </w:rPr>
        <w:t xml:space="preserve"> with the use of protease inhibitors (PIs) and non-nucleoside reverse transcriptase inhibitors (NNRTIs) for the treatment of HIV infection. </w:t>
      </w:r>
      <w:r>
        <w:rPr>
          <w:b w:val="0"/>
        </w:rPr>
        <w:t xml:space="preserve"> </w:t>
      </w:r>
      <w:r w:rsidRPr="008905B3">
        <w:rPr>
          <w:b w:val="0"/>
        </w:rPr>
        <w:t>Treatment decisions in HIV-positive patients therefore require consultation with an HIV specialist.</w:t>
      </w:r>
    </w:p>
    <w:p w14:paraId="30F5393C" w14:textId="77777777" w:rsidR="0023141C" w:rsidRDefault="0023141C" w:rsidP="0023141C">
      <w:pPr>
        <w:pStyle w:val="Heading2"/>
        <w:tabs>
          <w:tab w:val="left" w:pos="-720"/>
          <w:tab w:val="left" w:pos="0"/>
        </w:tabs>
        <w:suppressAutoHyphens/>
        <w:spacing w:after="0"/>
        <w:ind w:left="420"/>
      </w:pPr>
    </w:p>
    <w:p w14:paraId="4AA17F86" w14:textId="77777777" w:rsidR="00C64184" w:rsidRDefault="003212B8" w:rsidP="008C27B5">
      <w:pPr>
        <w:pStyle w:val="Heading2"/>
        <w:numPr>
          <w:ilvl w:val="0"/>
          <w:numId w:val="3"/>
        </w:numPr>
        <w:tabs>
          <w:tab w:val="left" w:pos="-720"/>
          <w:tab w:val="left" w:pos="0"/>
        </w:tabs>
        <w:suppressAutoHyphens/>
        <w:spacing w:after="0"/>
      </w:pPr>
      <w:r>
        <w:t>PROCEDURE</w:t>
      </w:r>
      <w:r w:rsidR="003D6693">
        <w:t xml:space="preserve"> </w:t>
      </w:r>
      <w:r w:rsidR="0032387A">
        <w:t>FOR MONITORING TREATMENT</w:t>
      </w:r>
    </w:p>
    <w:p w14:paraId="30A61185" w14:textId="01C60748" w:rsidR="000B1D77" w:rsidRDefault="0032387A" w:rsidP="008C27B5">
      <w:pPr>
        <w:pStyle w:val="Heading2"/>
        <w:numPr>
          <w:ilvl w:val="1"/>
          <w:numId w:val="3"/>
        </w:numPr>
        <w:tabs>
          <w:tab w:val="left" w:pos="-720"/>
          <w:tab w:val="left" w:pos="0"/>
        </w:tabs>
        <w:suppressAutoHyphens/>
        <w:spacing w:after="0"/>
        <w:rPr>
          <w:b w:val="0"/>
        </w:rPr>
      </w:pPr>
      <w:bookmarkStart w:id="1" w:name="_Hlk86401465"/>
      <w:r w:rsidRPr="000B1D77">
        <w:rPr>
          <w:b w:val="0"/>
          <w:shd w:val="clear" w:color="auto" w:fill="FFFFFF"/>
        </w:rPr>
        <w:t xml:space="preserve">Patients will undergo </w:t>
      </w:r>
      <w:r w:rsidR="00356C92">
        <w:rPr>
          <w:b w:val="0"/>
          <w:shd w:val="clear" w:color="auto" w:fill="FFFFFF"/>
        </w:rPr>
        <w:t>regular</w:t>
      </w:r>
      <w:r w:rsidRPr="000B1D77">
        <w:rPr>
          <w:b w:val="0"/>
          <w:shd w:val="clear" w:color="auto" w:fill="FFFFFF"/>
        </w:rPr>
        <w:t xml:space="preserve"> clinical assessment, including the following components</w:t>
      </w:r>
      <w:r>
        <w:rPr>
          <w:b w:val="0"/>
          <w:shd w:val="clear" w:color="auto" w:fill="FFFFFF"/>
        </w:rPr>
        <w:t>:</w:t>
      </w:r>
    </w:p>
    <w:p w14:paraId="6DFAECFC" w14:textId="449A59B3" w:rsidR="004E7FDB" w:rsidRPr="004E7FDB" w:rsidRDefault="00573B60" w:rsidP="0032387A">
      <w:pPr>
        <w:pStyle w:val="Heading2"/>
        <w:numPr>
          <w:ilvl w:val="2"/>
          <w:numId w:val="3"/>
        </w:numPr>
        <w:tabs>
          <w:tab w:val="left" w:pos="-720"/>
          <w:tab w:val="left" w:pos="0"/>
        </w:tabs>
        <w:suppressAutoHyphens/>
        <w:spacing w:after="0"/>
        <w:rPr>
          <w:b w:val="0"/>
        </w:rPr>
      </w:pPr>
      <w:r>
        <w:rPr>
          <w:b w:val="0"/>
        </w:rPr>
        <w:t>Monthly i</w:t>
      </w:r>
      <w:r w:rsidR="004E7FDB">
        <w:rPr>
          <w:b w:val="0"/>
        </w:rPr>
        <w:t>nquiries about symptoms of active TB disease</w:t>
      </w:r>
    </w:p>
    <w:p w14:paraId="4E627F4D" w14:textId="215D8F63" w:rsidR="0032387A" w:rsidRPr="0032387A" w:rsidRDefault="00573B60" w:rsidP="0032387A">
      <w:pPr>
        <w:pStyle w:val="Heading2"/>
        <w:numPr>
          <w:ilvl w:val="2"/>
          <w:numId w:val="3"/>
        </w:numPr>
        <w:tabs>
          <w:tab w:val="left" w:pos="-720"/>
          <w:tab w:val="left" w:pos="0"/>
        </w:tabs>
        <w:suppressAutoHyphens/>
        <w:spacing w:after="0"/>
        <w:rPr>
          <w:b w:val="0"/>
        </w:rPr>
      </w:pPr>
      <w:r>
        <w:rPr>
          <w:b w:val="0"/>
          <w:shd w:val="clear" w:color="auto" w:fill="FFFFFF"/>
        </w:rPr>
        <w:t>Weekly i</w:t>
      </w:r>
      <w:r w:rsidR="0032387A" w:rsidRPr="0032387A">
        <w:rPr>
          <w:b w:val="0"/>
          <w:shd w:val="clear" w:color="auto" w:fill="FFFFFF"/>
        </w:rPr>
        <w:t xml:space="preserve">nquiries about </w:t>
      </w:r>
      <w:r w:rsidR="004E7FDB">
        <w:rPr>
          <w:b w:val="0"/>
          <w:shd w:val="clear" w:color="auto" w:fill="FFFFFF"/>
        </w:rPr>
        <w:t xml:space="preserve">rifapentine/INH </w:t>
      </w:r>
      <w:r w:rsidR="0032387A" w:rsidRPr="0032387A">
        <w:rPr>
          <w:b w:val="0"/>
          <w:shd w:val="clear" w:color="auto" w:fill="FFFFFF"/>
        </w:rPr>
        <w:t>side effects</w:t>
      </w:r>
    </w:p>
    <w:p w14:paraId="1417FF27" w14:textId="4CE385D4" w:rsidR="000B1D77" w:rsidRPr="0032387A" w:rsidRDefault="0032387A" w:rsidP="0032387A">
      <w:pPr>
        <w:pStyle w:val="Heading2"/>
        <w:numPr>
          <w:ilvl w:val="2"/>
          <w:numId w:val="3"/>
        </w:numPr>
        <w:tabs>
          <w:tab w:val="left" w:pos="-720"/>
          <w:tab w:val="left" w:pos="0"/>
        </w:tabs>
        <w:suppressAutoHyphens/>
        <w:spacing w:after="0"/>
        <w:rPr>
          <w:b w:val="0"/>
        </w:rPr>
      </w:pPr>
      <w:r w:rsidRPr="0032387A">
        <w:rPr>
          <w:b w:val="0"/>
          <w:shd w:val="clear" w:color="auto" w:fill="FFFFFF"/>
        </w:rPr>
        <w:t xml:space="preserve">Baseline and subsequent </w:t>
      </w:r>
      <w:r w:rsidR="00573B60">
        <w:rPr>
          <w:b w:val="0"/>
          <w:shd w:val="clear" w:color="auto" w:fill="FFFFFF"/>
        </w:rPr>
        <w:t xml:space="preserve">monthly </w:t>
      </w:r>
      <w:r w:rsidRPr="0032387A">
        <w:rPr>
          <w:b w:val="0"/>
          <w:shd w:val="clear" w:color="auto" w:fill="FFFFFF"/>
        </w:rPr>
        <w:t>laboratory tests</w:t>
      </w:r>
      <w:bookmarkEnd w:id="1"/>
    </w:p>
    <w:p w14:paraId="77A44305" w14:textId="6A77559C" w:rsidR="0032387A" w:rsidRPr="0032387A" w:rsidRDefault="00D557E3" w:rsidP="008C27B5">
      <w:pPr>
        <w:pStyle w:val="Heading2"/>
        <w:numPr>
          <w:ilvl w:val="1"/>
          <w:numId w:val="3"/>
        </w:numPr>
        <w:tabs>
          <w:tab w:val="left" w:pos="-720"/>
          <w:tab w:val="left" w:pos="0"/>
        </w:tabs>
        <w:suppressAutoHyphens/>
        <w:spacing w:after="0"/>
        <w:rPr>
          <w:b w:val="0"/>
        </w:rPr>
      </w:pPr>
      <w:r>
        <w:rPr>
          <w:b w:val="0"/>
        </w:rPr>
        <w:t>In addition, c</w:t>
      </w:r>
      <w:r w:rsidR="0032387A" w:rsidRPr="000B1D77">
        <w:rPr>
          <w:b w:val="0"/>
        </w:rPr>
        <w:t>linical support staff (such as DO</w:t>
      </w:r>
      <w:r w:rsidR="00917DCE">
        <w:rPr>
          <w:b w:val="0"/>
        </w:rPr>
        <w:t>P</w:t>
      </w:r>
      <w:r w:rsidR="0032387A" w:rsidRPr="000B1D77">
        <w:rPr>
          <w:b w:val="0"/>
        </w:rPr>
        <w:t xml:space="preserve">T workers) must </w:t>
      </w:r>
      <w:r w:rsidR="0032387A" w:rsidRPr="000B1D77">
        <w:rPr>
          <w:b w:val="0"/>
          <w:shd w:val="clear" w:color="auto" w:fill="FFFFFF"/>
        </w:rPr>
        <w:t>use a Latent Tuberculosis Infection Directly-Observed Preventive Therapy Tracking Record (see appendix</w:t>
      </w:r>
      <w:r w:rsidR="00DF03B8">
        <w:rPr>
          <w:b w:val="0"/>
          <w:shd w:val="clear" w:color="auto" w:fill="FFFFFF"/>
        </w:rPr>
        <w:t xml:space="preserve"> 1</w:t>
      </w:r>
      <w:r w:rsidR="0032387A" w:rsidRPr="000B1D77">
        <w:rPr>
          <w:b w:val="0"/>
          <w:shd w:val="clear" w:color="auto" w:fill="FFFFFF"/>
        </w:rPr>
        <w:t xml:space="preserve">) for </w:t>
      </w:r>
      <w:r>
        <w:rPr>
          <w:b w:val="0"/>
          <w:shd w:val="clear" w:color="auto" w:fill="FFFFFF"/>
        </w:rPr>
        <w:t xml:space="preserve">weekly inquiries about </w:t>
      </w:r>
      <w:r w:rsidR="0032387A" w:rsidRPr="000B1D77">
        <w:rPr>
          <w:b w:val="0"/>
          <w:shd w:val="clear" w:color="auto" w:fill="FFFFFF"/>
        </w:rPr>
        <w:t>adverse effects and must report problems promptly to the prescribing clinician.</w:t>
      </w:r>
    </w:p>
    <w:p w14:paraId="73AC1E6F" w14:textId="0B3E372A" w:rsidR="0032387A" w:rsidRPr="0032387A" w:rsidRDefault="0032387A" w:rsidP="008C27B5">
      <w:pPr>
        <w:pStyle w:val="Heading2"/>
        <w:numPr>
          <w:ilvl w:val="1"/>
          <w:numId w:val="3"/>
        </w:numPr>
        <w:tabs>
          <w:tab w:val="left" w:pos="-720"/>
          <w:tab w:val="left" w:pos="0"/>
        </w:tabs>
        <w:suppressAutoHyphens/>
        <w:spacing w:after="0"/>
        <w:rPr>
          <w:b w:val="0"/>
        </w:rPr>
      </w:pPr>
      <w:r w:rsidRPr="000B1D77">
        <w:rPr>
          <w:b w:val="0"/>
          <w:shd w:val="clear" w:color="auto" w:fill="FFFFFF"/>
        </w:rPr>
        <w:t xml:space="preserve">At each </w:t>
      </w:r>
      <w:r w:rsidR="007E6EAB">
        <w:rPr>
          <w:b w:val="0"/>
          <w:shd w:val="clear" w:color="auto" w:fill="FFFFFF"/>
        </w:rPr>
        <w:t xml:space="preserve">weekly </w:t>
      </w:r>
      <w:r w:rsidRPr="000B1D77">
        <w:rPr>
          <w:b w:val="0"/>
          <w:shd w:val="clear" w:color="auto" w:fill="FFFFFF"/>
        </w:rPr>
        <w:t xml:space="preserve">encounter, patients will be instructed in their preferred language to </w:t>
      </w:r>
      <w:r w:rsidRPr="00C17309">
        <w:rPr>
          <w:shd w:val="clear" w:color="auto" w:fill="FFFFFF"/>
        </w:rPr>
        <w:t xml:space="preserve">seek medical attention immediately if they have fever, yellow eyes, dizziness, rash, </w:t>
      </w:r>
      <w:r w:rsidR="0096090D" w:rsidRPr="00C17309">
        <w:rPr>
          <w:shd w:val="clear" w:color="auto" w:fill="FFFFFF"/>
        </w:rPr>
        <w:t xml:space="preserve">an influenza-like illness, </w:t>
      </w:r>
      <w:r w:rsidR="00C17309">
        <w:rPr>
          <w:shd w:val="clear" w:color="auto" w:fill="FFFFFF"/>
        </w:rPr>
        <w:t xml:space="preserve">or </w:t>
      </w:r>
      <w:r w:rsidRPr="00C17309">
        <w:rPr>
          <w:w w:val="91"/>
          <w:shd w:val="clear" w:color="auto" w:fill="FFFFFF"/>
        </w:rPr>
        <w:t xml:space="preserve">&gt; </w:t>
      </w:r>
      <w:r w:rsidRPr="00C17309">
        <w:rPr>
          <w:shd w:val="clear" w:color="auto" w:fill="FFFFFF"/>
        </w:rPr>
        <w:t>1 day of nausea, vomiting, weakness, abdominal pain, or loss of appetite</w:t>
      </w:r>
      <w:r w:rsidRPr="000B1D77">
        <w:rPr>
          <w:b w:val="0"/>
          <w:shd w:val="clear" w:color="auto" w:fill="FFFFFF"/>
        </w:rPr>
        <w:t>.</w:t>
      </w:r>
    </w:p>
    <w:p w14:paraId="2D187FD6" w14:textId="77777777" w:rsidR="000B1D77" w:rsidRPr="0032387A" w:rsidRDefault="0032387A" w:rsidP="0032387A">
      <w:pPr>
        <w:pStyle w:val="Heading2"/>
        <w:numPr>
          <w:ilvl w:val="1"/>
          <w:numId w:val="3"/>
        </w:numPr>
        <w:tabs>
          <w:tab w:val="left" w:pos="-720"/>
          <w:tab w:val="left" w:pos="0"/>
        </w:tabs>
        <w:suppressAutoHyphens/>
        <w:spacing w:after="0"/>
        <w:rPr>
          <w:b w:val="0"/>
        </w:rPr>
      </w:pPr>
      <w:r w:rsidRPr="00C17309">
        <w:rPr>
          <w:shd w:val="clear" w:color="auto" w:fill="FFFFFF"/>
        </w:rPr>
        <w:t>Rifapentine and INH will be withheld while the cause of suspected adverse effect symptoms is being determined</w:t>
      </w:r>
      <w:r>
        <w:rPr>
          <w:b w:val="0"/>
          <w:shd w:val="clear" w:color="auto" w:fill="FFFFFF"/>
        </w:rPr>
        <w:t>.</w:t>
      </w:r>
    </w:p>
    <w:p w14:paraId="1FED03CB" w14:textId="77777777" w:rsidR="00FF62CA" w:rsidRPr="00FF62CA" w:rsidRDefault="00A64C48" w:rsidP="008C27B5">
      <w:pPr>
        <w:pStyle w:val="Heading2"/>
        <w:numPr>
          <w:ilvl w:val="1"/>
          <w:numId w:val="3"/>
        </w:numPr>
        <w:tabs>
          <w:tab w:val="left" w:pos="-720"/>
          <w:tab w:val="left" w:pos="0"/>
        </w:tabs>
        <w:suppressAutoHyphens/>
        <w:spacing w:after="0"/>
        <w:rPr>
          <w:b w:val="0"/>
        </w:rPr>
      </w:pPr>
      <w:r>
        <w:t>Baseline testing</w:t>
      </w:r>
      <w:r w:rsidR="00FF62CA">
        <w:rPr>
          <w:b w:val="0"/>
        </w:rPr>
        <w:t>:</w:t>
      </w:r>
    </w:p>
    <w:p w14:paraId="62B74E6C" w14:textId="6FFAE826" w:rsidR="005B7797" w:rsidRPr="005B7797" w:rsidRDefault="00A64C48" w:rsidP="005B7797">
      <w:pPr>
        <w:pStyle w:val="Heading2"/>
        <w:numPr>
          <w:ilvl w:val="2"/>
          <w:numId w:val="3"/>
        </w:numPr>
        <w:tabs>
          <w:tab w:val="left" w:pos="-720"/>
          <w:tab w:val="left" w:pos="0"/>
        </w:tabs>
        <w:suppressAutoHyphens/>
        <w:spacing w:after="0"/>
        <w:rPr>
          <w:b w:val="0"/>
        </w:rPr>
      </w:pPr>
      <w:r w:rsidRPr="00A64C48">
        <w:rPr>
          <w:b w:val="0"/>
        </w:rPr>
        <w:t xml:space="preserve">Baseline </w:t>
      </w:r>
      <w:r w:rsidR="007E6EAB">
        <w:rPr>
          <w:b w:val="0"/>
        </w:rPr>
        <w:t xml:space="preserve">liver enzymes including </w:t>
      </w:r>
      <w:r>
        <w:rPr>
          <w:b w:val="0"/>
        </w:rPr>
        <w:t>alanine aminotransferase (</w:t>
      </w:r>
      <w:r w:rsidRPr="00A64C48">
        <w:rPr>
          <w:b w:val="0"/>
        </w:rPr>
        <w:t>ALT</w:t>
      </w:r>
      <w:r>
        <w:rPr>
          <w:b w:val="0"/>
        </w:rPr>
        <w:t>)</w:t>
      </w:r>
      <w:r w:rsidR="007E6EAB">
        <w:rPr>
          <w:b w:val="0"/>
        </w:rPr>
        <w:t>, aspartate aminotransferase (AST), bilirubin, and alkaline phosphatase</w:t>
      </w:r>
      <w:r w:rsidR="0048087A">
        <w:rPr>
          <w:b w:val="0"/>
        </w:rPr>
        <w:t xml:space="preserve"> (ALP)</w:t>
      </w:r>
      <w:r w:rsidR="007E6EAB">
        <w:rPr>
          <w:b w:val="0"/>
        </w:rPr>
        <w:t>,</w:t>
      </w:r>
      <w:r w:rsidR="003D6693">
        <w:rPr>
          <w:b w:val="0"/>
        </w:rPr>
        <w:t xml:space="preserve"> </w:t>
      </w:r>
      <w:r w:rsidR="008905B3">
        <w:rPr>
          <w:b w:val="0"/>
        </w:rPr>
        <w:t>a</w:t>
      </w:r>
      <w:r w:rsidR="007E6EAB">
        <w:rPr>
          <w:b w:val="0"/>
        </w:rPr>
        <w:t>s well as</w:t>
      </w:r>
      <w:r w:rsidR="008905B3">
        <w:rPr>
          <w:b w:val="0"/>
        </w:rPr>
        <w:t xml:space="preserve"> </w:t>
      </w:r>
      <w:r w:rsidR="003D6693">
        <w:rPr>
          <w:b w:val="0"/>
        </w:rPr>
        <w:t>complete blood count (CBC)</w:t>
      </w:r>
      <w:r w:rsidR="00435799">
        <w:rPr>
          <w:b w:val="0"/>
        </w:rPr>
        <w:t xml:space="preserve"> is recommended for every</w:t>
      </w:r>
      <w:r w:rsidR="008905B3">
        <w:rPr>
          <w:b w:val="0"/>
        </w:rPr>
        <w:t>one</w:t>
      </w:r>
      <w:r w:rsidR="00435799">
        <w:rPr>
          <w:b w:val="0"/>
        </w:rPr>
        <w:t xml:space="preserve"> being </w:t>
      </w:r>
      <w:r w:rsidR="008905B3">
        <w:rPr>
          <w:b w:val="0"/>
        </w:rPr>
        <w:t>started on</w:t>
      </w:r>
      <w:r w:rsidRPr="00A64C48">
        <w:rPr>
          <w:b w:val="0"/>
        </w:rPr>
        <w:t xml:space="preserve"> </w:t>
      </w:r>
      <w:r w:rsidR="007E6EAB">
        <w:rPr>
          <w:b w:val="0"/>
        </w:rPr>
        <w:t>rifapentine and INH</w:t>
      </w:r>
      <w:r w:rsidRPr="00A64C48">
        <w:rPr>
          <w:b w:val="0"/>
        </w:rPr>
        <w:t xml:space="preserve"> </w:t>
      </w:r>
      <w:r w:rsidR="008905B3">
        <w:rPr>
          <w:b w:val="0"/>
        </w:rPr>
        <w:t xml:space="preserve">for LTBI </w:t>
      </w:r>
      <w:r>
        <w:rPr>
          <w:b w:val="0"/>
        </w:rPr>
        <w:t xml:space="preserve">treatment.  Nursing Station staff </w:t>
      </w:r>
      <w:r w:rsidR="008905B3">
        <w:rPr>
          <w:b w:val="0"/>
        </w:rPr>
        <w:t xml:space="preserve">or Primary Care </w:t>
      </w:r>
      <w:r w:rsidR="008905B3">
        <w:rPr>
          <w:b w:val="0"/>
        </w:rPr>
        <w:lastRenderedPageBreak/>
        <w:t xml:space="preserve">Providers </w:t>
      </w:r>
      <w:r>
        <w:rPr>
          <w:b w:val="0"/>
        </w:rPr>
        <w:t xml:space="preserve">should ensure that this </w:t>
      </w:r>
      <w:r w:rsidR="00156B1D">
        <w:rPr>
          <w:b w:val="0"/>
        </w:rPr>
        <w:t xml:space="preserve">baseline </w:t>
      </w:r>
      <w:r>
        <w:rPr>
          <w:b w:val="0"/>
        </w:rPr>
        <w:t>testing has been performed.</w:t>
      </w:r>
    </w:p>
    <w:p w14:paraId="2D48709C" w14:textId="77777777" w:rsidR="002233C0" w:rsidRPr="007E6EAB" w:rsidRDefault="007E6EAB" w:rsidP="002233C0">
      <w:pPr>
        <w:pStyle w:val="Heading2"/>
        <w:numPr>
          <w:ilvl w:val="2"/>
          <w:numId w:val="3"/>
        </w:numPr>
        <w:tabs>
          <w:tab w:val="left" w:pos="-720"/>
          <w:tab w:val="left" w:pos="0"/>
        </w:tabs>
        <w:suppressAutoHyphens/>
        <w:spacing w:after="0"/>
        <w:rPr>
          <w:b w:val="0"/>
        </w:rPr>
      </w:pPr>
      <w:r>
        <w:rPr>
          <w:b w:val="0"/>
        </w:rPr>
        <w:t>All persons being considered for LTBI treatment should have HIV testing.</w:t>
      </w:r>
    </w:p>
    <w:p w14:paraId="4F14CF50" w14:textId="77777777" w:rsidR="002233C0" w:rsidRPr="0089230A" w:rsidRDefault="00A64C48" w:rsidP="008905B3">
      <w:pPr>
        <w:pStyle w:val="Heading2"/>
        <w:numPr>
          <w:ilvl w:val="1"/>
          <w:numId w:val="3"/>
        </w:numPr>
        <w:tabs>
          <w:tab w:val="left" w:pos="-720"/>
          <w:tab w:val="left" w:pos="0"/>
        </w:tabs>
        <w:suppressAutoHyphens/>
        <w:spacing w:after="0"/>
        <w:rPr>
          <w:b w:val="0"/>
        </w:rPr>
      </w:pPr>
      <w:r>
        <w:t>Follow up testing:</w:t>
      </w:r>
    </w:p>
    <w:p w14:paraId="6C620434" w14:textId="77777777" w:rsidR="00FF62CA" w:rsidRDefault="00156B1D" w:rsidP="008905B3">
      <w:pPr>
        <w:pStyle w:val="Heading2"/>
        <w:numPr>
          <w:ilvl w:val="2"/>
          <w:numId w:val="3"/>
        </w:numPr>
        <w:tabs>
          <w:tab w:val="left" w:pos="-720"/>
          <w:tab w:val="left" w:pos="0"/>
        </w:tabs>
        <w:suppressAutoHyphens/>
        <w:spacing w:after="0"/>
        <w:rPr>
          <w:rFonts w:cs="Arial"/>
          <w:b w:val="0"/>
          <w:szCs w:val="20"/>
        </w:rPr>
      </w:pPr>
      <w:r w:rsidRPr="00156B1D">
        <w:rPr>
          <w:b w:val="0"/>
        </w:rPr>
        <w:t xml:space="preserve">During the course of </w:t>
      </w:r>
      <w:r w:rsidR="007E6EAB">
        <w:rPr>
          <w:b w:val="0"/>
        </w:rPr>
        <w:t>r</w:t>
      </w:r>
      <w:r w:rsidR="00AD546C">
        <w:rPr>
          <w:b w:val="0"/>
        </w:rPr>
        <w:t>ifa</w:t>
      </w:r>
      <w:r w:rsidR="007E6EAB">
        <w:rPr>
          <w:b w:val="0"/>
        </w:rPr>
        <w:t>pentine and INH</w:t>
      </w:r>
      <w:r w:rsidRPr="00156B1D">
        <w:rPr>
          <w:b w:val="0"/>
        </w:rPr>
        <w:t xml:space="preserve"> therapy</w:t>
      </w:r>
      <w:r>
        <w:rPr>
          <w:b w:val="0"/>
        </w:rPr>
        <w:t xml:space="preserve"> for LTBI</w:t>
      </w:r>
      <w:r w:rsidRPr="00156B1D">
        <w:rPr>
          <w:b w:val="0"/>
        </w:rPr>
        <w:t xml:space="preserve">, monthly testing of liver enzymes </w:t>
      </w:r>
      <w:r w:rsidR="007E6EAB">
        <w:rPr>
          <w:b w:val="0"/>
        </w:rPr>
        <w:t>a</w:t>
      </w:r>
      <w:r w:rsidR="00D41C1B">
        <w:rPr>
          <w:b w:val="0"/>
        </w:rPr>
        <w:t>nd CBC</w:t>
      </w:r>
      <w:r w:rsidRPr="00156B1D">
        <w:rPr>
          <w:b w:val="0"/>
        </w:rPr>
        <w:t xml:space="preserve"> is recommended for all persons over the age of 35 years</w:t>
      </w:r>
      <w:r>
        <w:rPr>
          <w:b w:val="0"/>
        </w:rPr>
        <w:t>.</w:t>
      </w:r>
    </w:p>
    <w:p w14:paraId="07483E6C" w14:textId="77777777" w:rsidR="001D7E48" w:rsidRDefault="00F92B55" w:rsidP="008905B3">
      <w:pPr>
        <w:pStyle w:val="Heading2"/>
        <w:numPr>
          <w:ilvl w:val="2"/>
          <w:numId w:val="3"/>
        </w:numPr>
        <w:tabs>
          <w:tab w:val="left" w:pos="-720"/>
          <w:tab w:val="left" w:pos="0"/>
        </w:tabs>
        <w:suppressAutoHyphens/>
        <w:spacing w:after="0"/>
        <w:rPr>
          <w:b w:val="0"/>
        </w:rPr>
      </w:pPr>
      <w:r>
        <w:rPr>
          <w:b w:val="0"/>
        </w:rPr>
        <w:t xml:space="preserve">Monthly </w:t>
      </w:r>
      <w:r w:rsidR="007E6EAB">
        <w:rPr>
          <w:b w:val="0"/>
        </w:rPr>
        <w:t>liver enzymes</w:t>
      </w:r>
      <w:r w:rsidR="00156B1D">
        <w:rPr>
          <w:b w:val="0"/>
        </w:rPr>
        <w:t xml:space="preserve"> </w:t>
      </w:r>
      <w:r w:rsidR="00D41C1B">
        <w:rPr>
          <w:b w:val="0"/>
        </w:rPr>
        <w:t>and CBC</w:t>
      </w:r>
      <w:r w:rsidR="00156B1D">
        <w:rPr>
          <w:b w:val="0"/>
        </w:rPr>
        <w:t xml:space="preserve"> testing is also recommended for persons </w:t>
      </w:r>
      <w:r w:rsidR="00156B1D" w:rsidRPr="00156B1D">
        <w:rPr>
          <w:b w:val="0"/>
        </w:rPr>
        <w:t xml:space="preserve">with other risk factors </w:t>
      </w:r>
      <w:r>
        <w:rPr>
          <w:b w:val="0"/>
        </w:rPr>
        <w:t>for acute</w:t>
      </w:r>
      <w:r w:rsidR="00CC01A9">
        <w:rPr>
          <w:b w:val="0"/>
        </w:rPr>
        <w:t xml:space="preserve"> liver injury</w:t>
      </w:r>
      <w:r>
        <w:rPr>
          <w:b w:val="0"/>
        </w:rPr>
        <w:t xml:space="preserve"> </w:t>
      </w:r>
      <w:r w:rsidR="00156B1D" w:rsidRPr="00156B1D">
        <w:rPr>
          <w:b w:val="0"/>
        </w:rPr>
        <w:t>regardless of age</w:t>
      </w:r>
      <w:r w:rsidR="00156B1D">
        <w:rPr>
          <w:b w:val="0"/>
        </w:rPr>
        <w:t xml:space="preserve">, </w:t>
      </w:r>
      <w:r w:rsidR="00156B1D" w:rsidRPr="00156B1D">
        <w:rPr>
          <w:b w:val="0"/>
        </w:rPr>
        <w:t>includin</w:t>
      </w:r>
      <w:r>
        <w:rPr>
          <w:b w:val="0"/>
        </w:rPr>
        <w:t xml:space="preserve">g daily alcohol consumption, </w:t>
      </w:r>
      <w:r w:rsidR="00156B1D" w:rsidRPr="00156B1D">
        <w:rPr>
          <w:b w:val="0"/>
        </w:rPr>
        <w:t xml:space="preserve">concomitant treatment with other </w:t>
      </w:r>
      <w:r w:rsidR="00CC01A9">
        <w:rPr>
          <w:b w:val="0"/>
        </w:rPr>
        <w:t xml:space="preserve">potentially </w:t>
      </w:r>
      <w:r w:rsidR="00156B1D" w:rsidRPr="00156B1D">
        <w:rPr>
          <w:b w:val="0"/>
        </w:rPr>
        <w:t xml:space="preserve">hepatotoxic drugs, chronic liver disease, or baseline elevation of ALT to &gt;2X upper limit of normal </w:t>
      </w:r>
      <w:r w:rsidR="00E049A8">
        <w:rPr>
          <w:b w:val="0"/>
        </w:rPr>
        <w:t>(ULN)</w:t>
      </w:r>
      <w:r w:rsidR="00156B1D">
        <w:rPr>
          <w:b w:val="0"/>
        </w:rPr>
        <w:t>.</w:t>
      </w:r>
    </w:p>
    <w:p w14:paraId="798F6EB4" w14:textId="77777777" w:rsidR="001D7E48" w:rsidRDefault="00156B1D" w:rsidP="00E7312C">
      <w:pPr>
        <w:pStyle w:val="Heading2"/>
        <w:numPr>
          <w:ilvl w:val="2"/>
          <w:numId w:val="3"/>
        </w:numPr>
        <w:tabs>
          <w:tab w:val="left" w:pos="-720"/>
          <w:tab w:val="left" w:pos="0"/>
        </w:tabs>
        <w:suppressAutoHyphens/>
        <w:spacing w:after="0"/>
        <w:rPr>
          <w:rFonts w:cs="Arial"/>
          <w:b w:val="0"/>
          <w:szCs w:val="20"/>
        </w:rPr>
      </w:pPr>
      <w:r>
        <w:rPr>
          <w:rFonts w:cs="Arial"/>
          <w:b w:val="0"/>
          <w:szCs w:val="20"/>
        </w:rPr>
        <w:t xml:space="preserve">Some </w:t>
      </w:r>
      <w:r w:rsidR="00E7312C">
        <w:rPr>
          <w:rFonts w:cs="Arial"/>
          <w:b w:val="0"/>
          <w:szCs w:val="20"/>
        </w:rPr>
        <w:t>Primary Care Providers</w:t>
      </w:r>
      <w:r>
        <w:rPr>
          <w:rFonts w:cs="Arial"/>
          <w:b w:val="0"/>
          <w:szCs w:val="20"/>
        </w:rPr>
        <w:t xml:space="preserve"> </w:t>
      </w:r>
      <w:r w:rsidR="00C67F80">
        <w:rPr>
          <w:rFonts w:cs="Arial"/>
          <w:b w:val="0"/>
          <w:szCs w:val="20"/>
        </w:rPr>
        <w:t xml:space="preserve">may choose to </w:t>
      </w:r>
      <w:r w:rsidR="00F92B55">
        <w:rPr>
          <w:rFonts w:cs="Arial"/>
          <w:b w:val="0"/>
          <w:szCs w:val="20"/>
        </w:rPr>
        <w:t xml:space="preserve">order monthly </w:t>
      </w:r>
      <w:r w:rsidR="007E6EAB">
        <w:rPr>
          <w:rFonts w:cs="Arial"/>
          <w:b w:val="0"/>
          <w:szCs w:val="20"/>
        </w:rPr>
        <w:t xml:space="preserve">liver enzymes </w:t>
      </w:r>
      <w:r w:rsidR="00C67F80">
        <w:rPr>
          <w:rFonts w:cs="Arial"/>
          <w:b w:val="0"/>
          <w:szCs w:val="20"/>
        </w:rPr>
        <w:t>and CBC</w:t>
      </w:r>
      <w:r>
        <w:rPr>
          <w:rFonts w:cs="Arial"/>
          <w:b w:val="0"/>
          <w:szCs w:val="20"/>
        </w:rPr>
        <w:t xml:space="preserve"> based on the remoteness of the community and desire for additional monitoring.</w:t>
      </w:r>
    </w:p>
    <w:p w14:paraId="0E96D572" w14:textId="77777777" w:rsidR="00E7312C" w:rsidRDefault="00C43D7D" w:rsidP="00E7312C">
      <w:pPr>
        <w:pStyle w:val="Heading2"/>
        <w:numPr>
          <w:ilvl w:val="2"/>
          <w:numId w:val="3"/>
        </w:numPr>
        <w:tabs>
          <w:tab w:val="left" w:pos="-720"/>
          <w:tab w:val="left" w:pos="0"/>
        </w:tabs>
        <w:suppressAutoHyphens/>
        <w:spacing w:after="0"/>
        <w:rPr>
          <w:b w:val="0"/>
        </w:rPr>
      </w:pPr>
      <w:r w:rsidRPr="00831AC7">
        <w:rPr>
          <w:b w:val="0"/>
        </w:rPr>
        <w:t>Nursing Station staff</w:t>
      </w:r>
      <w:r w:rsidR="00E7312C" w:rsidRPr="00831AC7">
        <w:rPr>
          <w:b w:val="0"/>
        </w:rPr>
        <w:t xml:space="preserve"> and Primary Care clinic teams have a shared responsibility and should ensure that all follow up monthly </w:t>
      </w:r>
      <w:r w:rsidR="007E6EAB">
        <w:rPr>
          <w:b w:val="0"/>
        </w:rPr>
        <w:t>liver enzyme</w:t>
      </w:r>
      <w:r w:rsidR="00E7312C" w:rsidRPr="00831AC7">
        <w:rPr>
          <w:b w:val="0"/>
        </w:rPr>
        <w:t xml:space="preserve"> and CBC testing is performed, in addition to a monthly clinical assessment of each person taking </w:t>
      </w:r>
      <w:r w:rsidR="007E6EAB">
        <w:rPr>
          <w:b w:val="0"/>
        </w:rPr>
        <w:t>rifapentine and INH for</w:t>
      </w:r>
      <w:r w:rsidR="00E7312C" w:rsidRPr="00831AC7">
        <w:rPr>
          <w:b w:val="0"/>
        </w:rPr>
        <w:t xml:space="preserve"> LTBI</w:t>
      </w:r>
      <w:r w:rsidR="00E7312C" w:rsidRPr="005B7797">
        <w:rPr>
          <w:b w:val="0"/>
        </w:rPr>
        <w:t>.</w:t>
      </w:r>
    </w:p>
    <w:p w14:paraId="4B87392D" w14:textId="44D0B92D" w:rsidR="00E7312C" w:rsidRPr="00E7312C" w:rsidRDefault="00E7312C" w:rsidP="00E7312C">
      <w:pPr>
        <w:keepNext/>
        <w:numPr>
          <w:ilvl w:val="2"/>
          <w:numId w:val="3"/>
        </w:numPr>
        <w:tabs>
          <w:tab w:val="left" w:pos="-720"/>
          <w:tab w:val="left" w:pos="0"/>
        </w:tabs>
        <w:suppressAutoHyphens/>
        <w:outlineLvl w:val="1"/>
        <w:rPr>
          <w:bCs/>
        </w:rPr>
      </w:pPr>
      <w:r w:rsidRPr="00E7312C">
        <w:rPr>
          <w:bCs/>
        </w:rPr>
        <w:t>Clinic</w:t>
      </w:r>
      <w:r w:rsidR="00F61E8B">
        <w:rPr>
          <w:bCs/>
        </w:rPr>
        <w:t>al</w:t>
      </w:r>
      <w:r w:rsidRPr="00E7312C">
        <w:rPr>
          <w:bCs/>
        </w:rPr>
        <w:t xml:space="preserve"> </w:t>
      </w:r>
      <w:r w:rsidRPr="00E7312C">
        <w:t xml:space="preserve">team communication is expected between </w:t>
      </w:r>
      <w:r w:rsidR="00F61E8B">
        <w:t>all key team members</w:t>
      </w:r>
      <w:r w:rsidRPr="00E7312C">
        <w:t xml:space="preserve"> to ensure role clarity for each aspect of L</w:t>
      </w:r>
      <w:r w:rsidR="00F61E8B">
        <w:t>TBI</w:t>
      </w:r>
      <w:r w:rsidRPr="00E7312C">
        <w:t xml:space="preserve"> follow- up and monitoring.  </w:t>
      </w:r>
      <w:r w:rsidRPr="00E7312C">
        <w:rPr>
          <w:lang w:val="en-CA"/>
        </w:rPr>
        <w:t xml:space="preserve">Ensuring tests are done and consultations have occurred is a shared responsibility among </w:t>
      </w:r>
      <w:r w:rsidR="00F61E8B">
        <w:rPr>
          <w:lang w:val="en-CA"/>
        </w:rPr>
        <w:t xml:space="preserve">all </w:t>
      </w:r>
      <w:r w:rsidRPr="00E7312C">
        <w:rPr>
          <w:lang w:val="en-CA"/>
        </w:rPr>
        <w:t>members of the clinical team.  Efforts to follow-up on outstanding orders should be guided by clinical urgency and the principles of patient self-management an</w:t>
      </w:r>
      <w:r w:rsidR="00594A5A">
        <w:rPr>
          <w:lang w:val="en-CA"/>
        </w:rPr>
        <w:t>d choice.</w:t>
      </w:r>
    </w:p>
    <w:p w14:paraId="1DA9471F" w14:textId="77777777" w:rsidR="00E7312C" w:rsidRPr="0041629F" w:rsidRDefault="0041629F" w:rsidP="00E7312C">
      <w:pPr>
        <w:pStyle w:val="Heading2"/>
        <w:numPr>
          <w:ilvl w:val="2"/>
          <w:numId w:val="3"/>
        </w:numPr>
        <w:tabs>
          <w:tab w:val="left" w:pos="-720"/>
          <w:tab w:val="left" w:pos="0"/>
        </w:tabs>
        <w:suppressAutoHyphens/>
        <w:spacing w:after="0"/>
        <w:rPr>
          <w:b w:val="0"/>
        </w:rPr>
      </w:pPr>
      <w:r w:rsidRPr="0041629F">
        <w:rPr>
          <w:b w:val="0"/>
          <w:lang w:val="en-CA"/>
        </w:rPr>
        <w:t xml:space="preserve">Clinical Support Staff are responsible for: manual tracking of letters, daily monitoring and management of the status of tracked orders, documenting relevant information in the report, and bringing items of concern to the attention of the Primary Care Provider.  Additionally, Clinical Support Staff could be requested to ensure a monthly clinic appointment for assessment of each </w:t>
      </w:r>
      <w:r w:rsidRPr="0041629F">
        <w:rPr>
          <w:b w:val="0"/>
          <w:lang w:val="en-CA"/>
        </w:rPr>
        <w:lastRenderedPageBreak/>
        <w:t xml:space="preserve">individual taking </w:t>
      </w:r>
      <w:r w:rsidR="00917DCE">
        <w:rPr>
          <w:b w:val="0"/>
          <w:lang w:val="en-CA"/>
        </w:rPr>
        <w:t>rifapentine and INH</w:t>
      </w:r>
      <w:r w:rsidRPr="0041629F">
        <w:rPr>
          <w:b w:val="0"/>
          <w:lang w:val="en-CA"/>
        </w:rPr>
        <w:t xml:space="preserve"> for LTBI.  If the Primary Care Provider provides direction to Clinical Support Staff they will follow up with the individual (appointment reminders, following up to reschedule a missed appointment).</w:t>
      </w:r>
    </w:p>
    <w:p w14:paraId="2E127AB5" w14:textId="551F7CFC" w:rsidR="00CB1C16" w:rsidRPr="00573B60" w:rsidRDefault="00972094" w:rsidP="00594A5A">
      <w:pPr>
        <w:pStyle w:val="Heading2"/>
        <w:numPr>
          <w:ilvl w:val="2"/>
          <w:numId w:val="3"/>
        </w:numPr>
        <w:tabs>
          <w:tab w:val="left" w:pos="-720"/>
          <w:tab w:val="left" w:pos="0"/>
        </w:tabs>
        <w:suppressAutoHyphens/>
        <w:spacing w:after="0"/>
        <w:rPr>
          <w:rFonts w:cs="Arial"/>
          <w:b w:val="0"/>
          <w:szCs w:val="20"/>
        </w:rPr>
      </w:pPr>
      <w:r>
        <w:rPr>
          <w:b w:val="0"/>
        </w:rPr>
        <w:t>Weekly</w:t>
      </w:r>
      <w:r w:rsidR="0041629F">
        <w:rPr>
          <w:b w:val="0"/>
        </w:rPr>
        <w:t xml:space="preserve"> clinical assessment by Nursing Station Nurses or Primary Care Nurses</w:t>
      </w:r>
      <w:r w:rsidR="00C43D7D" w:rsidRPr="00E7312C">
        <w:rPr>
          <w:b w:val="0"/>
        </w:rPr>
        <w:t xml:space="preserve"> </w:t>
      </w:r>
      <w:r>
        <w:rPr>
          <w:b w:val="0"/>
        </w:rPr>
        <w:t xml:space="preserve">or </w:t>
      </w:r>
      <w:r w:rsidR="00917DCE">
        <w:rPr>
          <w:b w:val="0"/>
        </w:rPr>
        <w:t xml:space="preserve">by those administering DOPT </w:t>
      </w:r>
      <w:r w:rsidR="00C43D7D" w:rsidRPr="00E7312C">
        <w:rPr>
          <w:b w:val="0"/>
        </w:rPr>
        <w:t>consists</w:t>
      </w:r>
      <w:r w:rsidR="00C43D7D">
        <w:rPr>
          <w:rFonts w:cs="Arial"/>
          <w:b w:val="0"/>
          <w:szCs w:val="20"/>
        </w:rPr>
        <w:t xml:space="preserve"> of </w:t>
      </w:r>
      <w:r w:rsidR="0089230A">
        <w:rPr>
          <w:rFonts w:cs="Arial"/>
          <w:b w:val="0"/>
          <w:szCs w:val="20"/>
        </w:rPr>
        <w:t>symptom review, with particular attention to symptom</w:t>
      </w:r>
      <w:r w:rsidR="00CC01A9">
        <w:rPr>
          <w:rFonts w:cs="Arial"/>
          <w:b w:val="0"/>
          <w:szCs w:val="20"/>
        </w:rPr>
        <w:t xml:space="preserve">s associated with liver injury </w:t>
      </w:r>
      <w:r w:rsidR="00C67F80">
        <w:rPr>
          <w:rFonts w:cs="Arial"/>
          <w:b w:val="0"/>
          <w:szCs w:val="20"/>
        </w:rPr>
        <w:t xml:space="preserve">or </w:t>
      </w:r>
      <w:r w:rsidR="005B7797">
        <w:rPr>
          <w:rFonts w:cs="Arial"/>
          <w:b w:val="0"/>
          <w:szCs w:val="20"/>
        </w:rPr>
        <w:t xml:space="preserve">other </w:t>
      </w:r>
      <w:r w:rsidR="00F61E8B">
        <w:rPr>
          <w:rFonts w:cs="Arial"/>
          <w:b w:val="0"/>
          <w:szCs w:val="20"/>
        </w:rPr>
        <w:t>toxicity, with notification of the Primary Care Provider of any of the following symptoms:</w:t>
      </w:r>
    </w:p>
    <w:p w14:paraId="3AA3A0E3" w14:textId="77777777" w:rsidR="00CB1C16" w:rsidRPr="00594A5A" w:rsidRDefault="00CB1C16" w:rsidP="00594A5A"/>
    <w:tbl>
      <w:tblPr>
        <w:tblStyle w:val="TableGrid"/>
        <w:tblW w:w="0" w:type="auto"/>
        <w:jc w:val="center"/>
        <w:tblLook w:val="04A0" w:firstRow="1" w:lastRow="0" w:firstColumn="1" w:lastColumn="0" w:noHBand="0" w:noVBand="1"/>
      </w:tblPr>
      <w:tblGrid>
        <w:gridCol w:w="5387"/>
      </w:tblGrid>
      <w:tr w:rsidR="00F61E8B" w:rsidRPr="00C2560D" w14:paraId="1AB69501" w14:textId="77777777" w:rsidTr="00594A5A">
        <w:trPr>
          <w:jc w:val="center"/>
        </w:trPr>
        <w:tc>
          <w:tcPr>
            <w:tcW w:w="5387" w:type="dxa"/>
          </w:tcPr>
          <w:p w14:paraId="0233DD1F" w14:textId="77777777" w:rsidR="00F61E8B" w:rsidRPr="00C2560D" w:rsidRDefault="00F61E8B" w:rsidP="00917DCE">
            <w:pPr>
              <w:pStyle w:val="ListParagraph"/>
              <w:ind w:left="0"/>
              <w:rPr>
                <w:rFonts w:ascii="Arial" w:hAnsi="Arial" w:cs="Arial"/>
                <w:b/>
                <w:bCs/>
                <w:sz w:val="20"/>
                <w:szCs w:val="20"/>
              </w:rPr>
            </w:pPr>
            <w:r w:rsidRPr="00C2560D">
              <w:rPr>
                <w:rFonts w:ascii="Arial" w:hAnsi="Arial" w:cs="Arial"/>
                <w:b/>
                <w:bCs/>
                <w:sz w:val="20"/>
                <w:szCs w:val="20"/>
              </w:rPr>
              <w:t xml:space="preserve">Symptoms associated with </w:t>
            </w:r>
            <w:r w:rsidR="00917DCE">
              <w:rPr>
                <w:rFonts w:ascii="Arial" w:hAnsi="Arial" w:cs="Arial"/>
                <w:b/>
                <w:bCs/>
                <w:sz w:val="20"/>
                <w:szCs w:val="20"/>
              </w:rPr>
              <w:t>r</w:t>
            </w:r>
            <w:r w:rsidRPr="00C2560D">
              <w:rPr>
                <w:rFonts w:ascii="Arial" w:hAnsi="Arial" w:cs="Arial"/>
                <w:b/>
                <w:bCs/>
                <w:sz w:val="20"/>
                <w:szCs w:val="20"/>
              </w:rPr>
              <w:t>ifa</w:t>
            </w:r>
            <w:r w:rsidR="00917DCE">
              <w:rPr>
                <w:rFonts w:ascii="Arial" w:hAnsi="Arial" w:cs="Arial"/>
                <w:b/>
                <w:bCs/>
                <w:sz w:val="20"/>
                <w:szCs w:val="20"/>
              </w:rPr>
              <w:t>pentine/INH</w:t>
            </w:r>
            <w:r>
              <w:rPr>
                <w:rFonts w:ascii="Arial" w:hAnsi="Arial" w:cs="Arial"/>
                <w:b/>
                <w:bCs/>
                <w:sz w:val="20"/>
                <w:szCs w:val="20"/>
              </w:rPr>
              <w:t xml:space="preserve"> toxicity</w:t>
            </w:r>
            <w:r w:rsidRPr="00C2560D">
              <w:rPr>
                <w:rFonts w:ascii="Arial" w:hAnsi="Arial" w:cs="Arial"/>
                <w:b/>
                <w:bCs/>
                <w:sz w:val="20"/>
                <w:szCs w:val="20"/>
              </w:rPr>
              <w:t>:</w:t>
            </w:r>
          </w:p>
        </w:tc>
      </w:tr>
      <w:tr w:rsidR="00F61E8B" w14:paraId="46E2D8DC" w14:textId="77777777" w:rsidTr="00594A5A">
        <w:trPr>
          <w:jc w:val="center"/>
        </w:trPr>
        <w:tc>
          <w:tcPr>
            <w:tcW w:w="5387" w:type="dxa"/>
          </w:tcPr>
          <w:p w14:paraId="697EF751" w14:textId="77777777" w:rsidR="00F61E8B" w:rsidRDefault="00F61E8B" w:rsidP="003F5370">
            <w:pPr>
              <w:pStyle w:val="ListParagraph"/>
              <w:ind w:left="0"/>
              <w:rPr>
                <w:rFonts w:ascii="Arial" w:hAnsi="Arial" w:cs="Arial"/>
                <w:bCs/>
                <w:sz w:val="20"/>
                <w:szCs w:val="20"/>
              </w:rPr>
            </w:pPr>
            <w:r>
              <w:rPr>
                <w:rFonts w:ascii="Arial" w:hAnsi="Arial" w:cs="Arial"/>
                <w:bCs/>
                <w:sz w:val="20"/>
                <w:szCs w:val="20"/>
              </w:rPr>
              <w:t>F</w:t>
            </w:r>
            <w:r w:rsidRPr="00EE50DC">
              <w:rPr>
                <w:rFonts w:ascii="Arial" w:hAnsi="Arial" w:cs="Arial"/>
                <w:bCs/>
                <w:sz w:val="20"/>
                <w:szCs w:val="20"/>
              </w:rPr>
              <w:t>atigue</w:t>
            </w:r>
          </w:p>
        </w:tc>
      </w:tr>
      <w:tr w:rsidR="00F61E8B" w14:paraId="10435CB5" w14:textId="77777777" w:rsidTr="00594A5A">
        <w:trPr>
          <w:jc w:val="center"/>
        </w:trPr>
        <w:tc>
          <w:tcPr>
            <w:tcW w:w="5387" w:type="dxa"/>
          </w:tcPr>
          <w:p w14:paraId="07A6421F" w14:textId="77777777" w:rsidR="00F61E8B" w:rsidRDefault="00F61E8B" w:rsidP="003F5370">
            <w:pPr>
              <w:pStyle w:val="ListParagraph"/>
              <w:ind w:left="0"/>
              <w:rPr>
                <w:rFonts w:ascii="Arial" w:hAnsi="Arial" w:cs="Arial"/>
                <w:bCs/>
                <w:sz w:val="20"/>
                <w:szCs w:val="20"/>
              </w:rPr>
            </w:pPr>
            <w:r>
              <w:rPr>
                <w:rFonts w:ascii="Arial" w:hAnsi="Arial" w:cs="Arial"/>
                <w:bCs/>
                <w:sz w:val="20"/>
                <w:szCs w:val="20"/>
              </w:rPr>
              <w:t>W</w:t>
            </w:r>
            <w:r w:rsidRPr="00EE50DC">
              <w:rPr>
                <w:rFonts w:ascii="Arial" w:hAnsi="Arial" w:cs="Arial"/>
                <w:bCs/>
                <w:sz w:val="20"/>
                <w:szCs w:val="20"/>
              </w:rPr>
              <w:t>eakness</w:t>
            </w:r>
          </w:p>
        </w:tc>
      </w:tr>
      <w:tr w:rsidR="00F61E8B" w14:paraId="055E0FBB" w14:textId="77777777" w:rsidTr="00594A5A">
        <w:trPr>
          <w:jc w:val="center"/>
        </w:trPr>
        <w:tc>
          <w:tcPr>
            <w:tcW w:w="5387" w:type="dxa"/>
          </w:tcPr>
          <w:p w14:paraId="03483D23" w14:textId="5C583944" w:rsidR="00F61E8B" w:rsidRDefault="00005450" w:rsidP="007678CF">
            <w:pPr>
              <w:pStyle w:val="ListParagraph"/>
              <w:ind w:left="0"/>
              <w:rPr>
                <w:rFonts w:ascii="Arial" w:hAnsi="Arial" w:cs="Arial"/>
                <w:bCs/>
                <w:sz w:val="20"/>
                <w:szCs w:val="20"/>
              </w:rPr>
            </w:pPr>
            <w:r>
              <w:rPr>
                <w:rFonts w:ascii="Arial" w:hAnsi="Arial" w:cs="Arial"/>
                <w:bCs/>
                <w:sz w:val="20"/>
                <w:szCs w:val="20"/>
              </w:rPr>
              <w:t>Fever</w:t>
            </w:r>
          </w:p>
        </w:tc>
      </w:tr>
      <w:tr w:rsidR="00F61E8B" w14:paraId="5D44E111" w14:textId="77777777" w:rsidTr="00594A5A">
        <w:trPr>
          <w:jc w:val="center"/>
        </w:trPr>
        <w:tc>
          <w:tcPr>
            <w:tcW w:w="5387" w:type="dxa"/>
          </w:tcPr>
          <w:p w14:paraId="048E2C44" w14:textId="3F99D845" w:rsidR="00F61E8B" w:rsidRDefault="00005450" w:rsidP="007678CF">
            <w:pPr>
              <w:pStyle w:val="ListParagraph"/>
              <w:ind w:left="0"/>
              <w:rPr>
                <w:rFonts w:ascii="Arial" w:hAnsi="Arial" w:cs="Arial"/>
                <w:bCs/>
                <w:sz w:val="20"/>
                <w:szCs w:val="20"/>
              </w:rPr>
            </w:pPr>
            <w:r>
              <w:rPr>
                <w:rFonts w:ascii="Arial" w:hAnsi="Arial" w:cs="Arial"/>
                <w:bCs/>
                <w:sz w:val="20"/>
                <w:szCs w:val="20"/>
              </w:rPr>
              <w:t>Flushing, chills or sweats</w:t>
            </w:r>
          </w:p>
        </w:tc>
      </w:tr>
      <w:tr w:rsidR="00F61E8B" w14:paraId="3040B074" w14:textId="77777777" w:rsidTr="00594A5A">
        <w:trPr>
          <w:jc w:val="center"/>
        </w:trPr>
        <w:tc>
          <w:tcPr>
            <w:tcW w:w="5387" w:type="dxa"/>
          </w:tcPr>
          <w:p w14:paraId="367B38D9" w14:textId="0C0A9E7E" w:rsidR="00F61E8B" w:rsidRDefault="00005450" w:rsidP="007678CF">
            <w:pPr>
              <w:pStyle w:val="ListParagraph"/>
              <w:ind w:left="0"/>
              <w:rPr>
                <w:rFonts w:ascii="Arial" w:hAnsi="Arial" w:cs="Arial"/>
                <w:bCs/>
                <w:sz w:val="20"/>
                <w:szCs w:val="20"/>
              </w:rPr>
            </w:pPr>
            <w:r>
              <w:rPr>
                <w:rFonts w:ascii="Arial" w:hAnsi="Arial" w:cs="Arial"/>
                <w:bCs/>
                <w:sz w:val="20"/>
                <w:szCs w:val="20"/>
              </w:rPr>
              <w:t>Headache</w:t>
            </w:r>
          </w:p>
        </w:tc>
      </w:tr>
      <w:tr w:rsidR="00F61E8B" w14:paraId="6500A0FE" w14:textId="77777777" w:rsidTr="00594A5A">
        <w:trPr>
          <w:jc w:val="center"/>
        </w:trPr>
        <w:tc>
          <w:tcPr>
            <w:tcW w:w="5387" w:type="dxa"/>
          </w:tcPr>
          <w:p w14:paraId="3CBE20E4" w14:textId="04196E9D" w:rsidR="00F61E8B" w:rsidRDefault="00005450" w:rsidP="003F5370">
            <w:pPr>
              <w:pStyle w:val="ListParagraph"/>
              <w:ind w:left="0"/>
              <w:rPr>
                <w:rFonts w:ascii="Arial" w:hAnsi="Arial" w:cs="Arial"/>
                <w:bCs/>
                <w:sz w:val="20"/>
                <w:szCs w:val="20"/>
              </w:rPr>
            </w:pPr>
            <w:r>
              <w:rPr>
                <w:rFonts w:ascii="Arial" w:hAnsi="Arial" w:cs="Arial"/>
                <w:bCs/>
                <w:sz w:val="20"/>
                <w:szCs w:val="20"/>
              </w:rPr>
              <w:t>Arthralgia/myalgia</w:t>
            </w:r>
          </w:p>
        </w:tc>
      </w:tr>
      <w:tr w:rsidR="00005450" w14:paraId="3402D17E" w14:textId="77777777" w:rsidTr="00594A5A">
        <w:trPr>
          <w:jc w:val="center"/>
        </w:trPr>
        <w:tc>
          <w:tcPr>
            <w:tcW w:w="5387" w:type="dxa"/>
          </w:tcPr>
          <w:p w14:paraId="642D2C21" w14:textId="3C864323" w:rsidR="00005450" w:rsidRDefault="00005450" w:rsidP="003F5370">
            <w:pPr>
              <w:pStyle w:val="ListParagraph"/>
              <w:ind w:left="0"/>
              <w:rPr>
                <w:rFonts w:ascii="Arial" w:hAnsi="Arial" w:cs="Arial"/>
                <w:bCs/>
                <w:sz w:val="20"/>
                <w:szCs w:val="20"/>
              </w:rPr>
            </w:pPr>
            <w:r>
              <w:rPr>
                <w:rFonts w:ascii="Arial" w:hAnsi="Arial" w:cs="Arial"/>
                <w:bCs/>
                <w:sz w:val="20"/>
                <w:szCs w:val="20"/>
              </w:rPr>
              <w:t>Orthostatic symptoms (dizziness)</w:t>
            </w:r>
          </w:p>
        </w:tc>
      </w:tr>
      <w:tr w:rsidR="00005450" w14:paraId="0632523A" w14:textId="77777777" w:rsidTr="00594A5A">
        <w:trPr>
          <w:jc w:val="center"/>
        </w:trPr>
        <w:tc>
          <w:tcPr>
            <w:tcW w:w="5387" w:type="dxa"/>
          </w:tcPr>
          <w:p w14:paraId="6B2BB101" w14:textId="05CA5D33" w:rsidR="00005450" w:rsidRDefault="00005450" w:rsidP="003F5370">
            <w:pPr>
              <w:pStyle w:val="ListParagraph"/>
              <w:ind w:left="0"/>
              <w:rPr>
                <w:rFonts w:ascii="Arial" w:hAnsi="Arial" w:cs="Arial"/>
                <w:bCs/>
                <w:sz w:val="20"/>
                <w:szCs w:val="20"/>
              </w:rPr>
            </w:pPr>
            <w:r>
              <w:rPr>
                <w:rFonts w:ascii="Arial" w:hAnsi="Arial" w:cs="Arial"/>
                <w:bCs/>
                <w:sz w:val="20"/>
                <w:szCs w:val="20"/>
              </w:rPr>
              <w:t xml:space="preserve">Wheezing </w:t>
            </w:r>
          </w:p>
        </w:tc>
      </w:tr>
      <w:tr w:rsidR="00005450" w14:paraId="5092051E" w14:textId="77777777" w:rsidTr="00594A5A">
        <w:trPr>
          <w:jc w:val="center"/>
        </w:trPr>
        <w:tc>
          <w:tcPr>
            <w:tcW w:w="5387" w:type="dxa"/>
          </w:tcPr>
          <w:p w14:paraId="53892D0C" w14:textId="3F662BF1" w:rsidR="00005450" w:rsidRDefault="00005450" w:rsidP="003F5370">
            <w:pPr>
              <w:pStyle w:val="ListParagraph"/>
              <w:ind w:left="0"/>
              <w:rPr>
                <w:rFonts w:ascii="Arial" w:hAnsi="Arial" w:cs="Arial"/>
                <w:bCs/>
                <w:sz w:val="20"/>
                <w:szCs w:val="20"/>
              </w:rPr>
            </w:pPr>
            <w:r>
              <w:rPr>
                <w:rFonts w:ascii="Arial" w:hAnsi="Arial" w:cs="Arial"/>
                <w:bCs/>
                <w:sz w:val="20"/>
                <w:szCs w:val="20"/>
              </w:rPr>
              <w:t xml:space="preserve">Dyspnea </w:t>
            </w:r>
          </w:p>
        </w:tc>
      </w:tr>
      <w:tr w:rsidR="00005450" w14:paraId="4FA64047" w14:textId="77777777" w:rsidTr="00594A5A">
        <w:trPr>
          <w:jc w:val="center"/>
        </w:trPr>
        <w:tc>
          <w:tcPr>
            <w:tcW w:w="5387" w:type="dxa"/>
          </w:tcPr>
          <w:p w14:paraId="0CDB2EFC" w14:textId="4DB0A227" w:rsidR="00005450" w:rsidRDefault="00005450" w:rsidP="003F5370">
            <w:pPr>
              <w:pStyle w:val="ListParagraph"/>
              <w:ind w:left="0"/>
              <w:rPr>
                <w:rFonts w:ascii="Arial" w:hAnsi="Arial" w:cs="Arial"/>
                <w:bCs/>
                <w:sz w:val="20"/>
                <w:szCs w:val="20"/>
              </w:rPr>
            </w:pPr>
            <w:r>
              <w:rPr>
                <w:rFonts w:ascii="Arial" w:hAnsi="Arial" w:cs="Arial"/>
                <w:bCs/>
                <w:sz w:val="20"/>
                <w:szCs w:val="20"/>
              </w:rPr>
              <w:t>Anorexia</w:t>
            </w:r>
          </w:p>
        </w:tc>
      </w:tr>
      <w:tr w:rsidR="00005450" w14:paraId="78B5A27B" w14:textId="77777777" w:rsidTr="00594A5A">
        <w:trPr>
          <w:jc w:val="center"/>
        </w:trPr>
        <w:tc>
          <w:tcPr>
            <w:tcW w:w="5387" w:type="dxa"/>
          </w:tcPr>
          <w:p w14:paraId="37FCCF9E" w14:textId="0C4997B3" w:rsidR="00005450" w:rsidRDefault="00005450" w:rsidP="003F5370">
            <w:pPr>
              <w:pStyle w:val="ListParagraph"/>
              <w:ind w:left="0"/>
              <w:rPr>
                <w:rFonts w:ascii="Arial" w:hAnsi="Arial" w:cs="Arial"/>
                <w:bCs/>
                <w:sz w:val="20"/>
                <w:szCs w:val="20"/>
              </w:rPr>
            </w:pPr>
            <w:r>
              <w:rPr>
                <w:rFonts w:ascii="Arial" w:hAnsi="Arial" w:cs="Arial"/>
                <w:bCs/>
                <w:sz w:val="20"/>
                <w:szCs w:val="20"/>
              </w:rPr>
              <w:t>Nausea/vomiting</w:t>
            </w:r>
          </w:p>
        </w:tc>
      </w:tr>
      <w:tr w:rsidR="00005450" w14:paraId="5E54B080" w14:textId="77777777" w:rsidTr="00594A5A">
        <w:trPr>
          <w:jc w:val="center"/>
        </w:trPr>
        <w:tc>
          <w:tcPr>
            <w:tcW w:w="5387" w:type="dxa"/>
          </w:tcPr>
          <w:p w14:paraId="6B2750D3" w14:textId="7E4D6638" w:rsidR="00005450" w:rsidRDefault="00005450" w:rsidP="003F5370">
            <w:pPr>
              <w:pStyle w:val="ListParagraph"/>
              <w:ind w:left="0"/>
              <w:rPr>
                <w:rFonts w:ascii="Arial" w:hAnsi="Arial" w:cs="Arial"/>
                <w:bCs/>
                <w:sz w:val="20"/>
                <w:szCs w:val="20"/>
              </w:rPr>
            </w:pPr>
            <w:r>
              <w:rPr>
                <w:rFonts w:ascii="Arial" w:hAnsi="Arial" w:cs="Arial"/>
                <w:bCs/>
                <w:sz w:val="20"/>
                <w:szCs w:val="20"/>
              </w:rPr>
              <w:t>V</w:t>
            </w:r>
            <w:r w:rsidRPr="00EE50DC">
              <w:rPr>
                <w:rFonts w:ascii="Arial" w:hAnsi="Arial" w:cs="Arial"/>
                <w:bCs/>
                <w:sz w:val="20"/>
                <w:szCs w:val="20"/>
              </w:rPr>
              <w:t>ague abdominal pain</w:t>
            </w:r>
          </w:p>
        </w:tc>
      </w:tr>
      <w:tr w:rsidR="00005450" w14:paraId="21DE7F4A" w14:textId="77777777" w:rsidTr="00594A5A">
        <w:trPr>
          <w:jc w:val="center"/>
        </w:trPr>
        <w:tc>
          <w:tcPr>
            <w:tcW w:w="5387" w:type="dxa"/>
          </w:tcPr>
          <w:p w14:paraId="72041675" w14:textId="7A577B62" w:rsidR="00005450" w:rsidRDefault="00005450" w:rsidP="007678CF">
            <w:pPr>
              <w:pStyle w:val="ListParagraph"/>
              <w:ind w:left="0"/>
              <w:rPr>
                <w:rFonts w:ascii="Arial" w:hAnsi="Arial" w:cs="Arial"/>
                <w:bCs/>
                <w:sz w:val="20"/>
                <w:szCs w:val="20"/>
              </w:rPr>
            </w:pPr>
            <w:r>
              <w:rPr>
                <w:rFonts w:ascii="Arial" w:hAnsi="Arial" w:cs="Arial"/>
                <w:bCs/>
                <w:sz w:val="20"/>
                <w:szCs w:val="20"/>
              </w:rPr>
              <w:t>R</w:t>
            </w:r>
            <w:r w:rsidRPr="00EE50DC">
              <w:rPr>
                <w:rFonts w:ascii="Arial" w:hAnsi="Arial" w:cs="Arial"/>
                <w:bCs/>
                <w:sz w:val="20"/>
                <w:szCs w:val="20"/>
              </w:rPr>
              <w:t>ight upper quadrant pain</w:t>
            </w:r>
          </w:p>
        </w:tc>
      </w:tr>
      <w:tr w:rsidR="00005450" w14:paraId="1BCFFED0" w14:textId="77777777" w:rsidTr="00594A5A">
        <w:trPr>
          <w:jc w:val="center"/>
        </w:trPr>
        <w:tc>
          <w:tcPr>
            <w:tcW w:w="5387" w:type="dxa"/>
          </w:tcPr>
          <w:p w14:paraId="6FC60C3A" w14:textId="6DD6DCA5" w:rsidR="00005450" w:rsidRDefault="00005450" w:rsidP="007678CF">
            <w:pPr>
              <w:pStyle w:val="ListParagraph"/>
              <w:ind w:left="0"/>
              <w:rPr>
                <w:rFonts w:ascii="Arial" w:hAnsi="Arial" w:cs="Arial"/>
                <w:bCs/>
                <w:sz w:val="20"/>
                <w:szCs w:val="20"/>
              </w:rPr>
            </w:pPr>
            <w:r>
              <w:rPr>
                <w:rFonts w:ascii="Arial" w:hAnsi="Arial" w:cs="Arial"/>
                <w:bCs/>
                <w:sz w:val="20"/>
                <w:szCs w:val="20"/>
              </w:rPr>
              <w:t>I</w:t>
            </w:r>
            <w:r w:rsidRPr="00EE50DC">
              <w:rPr>
                <w:rFonts w:ascii="Arial" w:hAnsi="Arial" w:cs="Arial"/>
                <w:bCs/>
                <w:sz w:val="20"/>
                <w:szCs w:val="20"/>
              </w:rPr>
              <w:t>tching</w:t>
            </w:r>
          </w:p>
        </w:tc>
      </w:tr>
      <w:tr w:rsidR="00005450" w14:paraId="682591AD" w14:textId="77777777" w:rsidTr="00594A5A">
        <w:trPr>
          <w:jc w:val="center"/>
        </w:trPr>
        <w:tc>
          <w:tcPr>
            <w:tcW w:w="5387" w:type="dxa"/>
          </w:tcPr>
          <w:p w14:paraId="156F4137" w14:textId="579F93F6" w:rsidR="00005450" w:rsidRDefault="00EE278C" w:rsidP="007678CF">
            <w:pPr>
              <w:pStyle w:val="ListParagraph"/>
              <w:ind w:left="0"/>
              <w:rPr>
                <w:rFonts w:ascii="Arial" w:hAnsi="Arial" w:cs="Arial"/>
                <w:bCs/>
                <w:sz w:val="20"/>
                <w:szCs w:val="20"/>
              </w:rPr>
            </w:pPr>
            <w:r>
              <w:rPr>
                <w:rFonts w:ascii="Arial" w:hAnsi="Arial" w:cs="Arial"/>
                <w:bCs/>
                <w:sz w:val="20"/>
                <w:szCs w:val="20"/>
              </w:rPr>
              <w:t>Hives</w:t>
            </w:r>
          </w:p>
        </w:tc>
      </w:tr>
      <w:tr w:rsidR="00005450" w14:paraId="6D9C9108" w14:textId="77777777" w:rsidTr="00594A5A">
        <w:trPr>
          <w:jc w:val="center"/>
        </w:trPr>
        <w:tc>
          <w:tcPr>
            <w:tcW w:w="5387" w:type="dxa"/>
          </w:tcPr>
          <w:p w14:paraId="04528A9E" w14:textId="6C6A4522" w:rsidR="00005450" w:rsidRDefault="00EE278C" w:rsidP="007678CF">
            <w:pPr>
              <w:pStyle w:val="ListParagraph"/>
              <w:ind w:left="0"/>
              <w:rPr>
                <w:rFonts w:ascii="Arial" w:hAnsi="Arial" w:cs="Arial"/>
                <w:bCs/>
                <w:sz w:val="20"/>
                <w:szCs w:val="20"/>
              </w:rPr>
            </w:pPr>
            <w:r>
              <w:rPr>
                <w:rFonts w:ascii="Arial" w:hAnsi="Arial" w:cs="Arial"/>
                <w:bCs/>
                <w:sz w:val="20"/>
                <w:szCs w:val="20"/>
              </w:rPr>
              <w:t>Swollen skin/membranes</w:t>
            </w:r>
          </w:p>
        </w:tc>
      </w:tr>
      <w:tr w:rsidR="00005450" w14:paraId="6172DC28" w14:textId="77777777" w:rsidTr="00594A5A">
        <w:trPr>
          <w:jc w:val="center"/>
        </w:trPr>
        <w:tc>
          <w:tcPr>
            <w:tcW w:w="5387" w:type="dxa"/>
          </w:tcPr>
          <w:p w14:paraId="2A74E49B" w14:textId="4FF9B5F9" w:rsidR="00005450" w:rsidRDefault="00EE278C" w:rsidP="003F5370">
            <w:pPr>
              <w:pStyle w:val="ListParagraph"/>
              <w:ind w:left="0"/>
              <w:rPr>
                <w:rFonts w:ascii="Arial" w:hAnsi="Arial" w:cs="Arial"/>
                <w:bCs/>
                <w:sz w:val="20"/>
                <w:szCs w:val="20"/>
              </w:rPr>
            </w:pPr>
            <w:r>
              <w:rPr>
                <w:rFonts w:ascii="Arial" w:hAnsi="Arial" w:cs="Arial"/>
                <w:bCs/>
                <w:sz w:val="20"/>
                <w:szCs w:val="20"/>
              </w:rPr>
              <w:t>Facial/lip swelling</w:t>
            </w:r>
          </w:p>
        </w:tc>
      </w:tr>
      <w:tr w:rsidR="00EE278C" w14:paraId="5602F1E1" w14:textId="77777777" w:rsidTr="00594A5A">
        <w:trPr>
          <w:jc w:val="center"/>
        </w:trPr>
        <w:tc>
          <w:tcPr>
            <w:tcW w:w="5387" w:type="dxa"/>
          </w:tcPr>
          <w:p w14:paraId="5AE67427" w14:textId="722A8B68" w:rsidR="00EE278C" w:rsidRDefault="00EE278C" w:rsidP="003F5370">
            <w:pPr>
              <w:pStyle w:val="ListParagraph"/>
              <w:ind w:left="0"/>
              <w:rPr>
                <w:rFonts w:ascii="Arial" w:hAnsi="Arial" w:cs="Arial"/>
                <w:bCs/>
                <w:sz w:val="20"/>
                <w:szCs w:val="20"/>
              </w:rPr>
            </w:pPr>
            <w:r>
              <w:rPr>
                <w:rFonts w:ascii="Arial" w:hAnsi="Arial" w:cs="Arial"/>
                <w:bCs/>
                <w:sz w:val="20"/>
                <w:szCs w:val="20"/>
              </w:rPr>
              <w:t>Skin rash</w:t>
            </w:r>
          </w:p>
        </w:tc>
      </w:tr>
      <w:tr w:rsidR="00EE278C" w14:paraId="01F78513" w14:textId="77777777" w:rsidTr="00594A5A">
        <w:trPr>
          <w:jc w:val="center"/>
        </w:trPr>
        <w:tc>
          <w:tcPr>
            <w:tcW w:w="5387" w:type="dxa"/>
          </w:tcPr>
          <w:p w14:paraId="69DDEDC5" w14:textId="65330A6B" w:rsidR="00EE278C" w:rsidRDefault="00EE278C" w:rsidP="003F5370">
            <w:pPr>
              <w:pStyle w:val="ListParagraph"/>
              <w:ind w:left="0"/>
              <w:rPr>
                <w:rFonts w:ascii="Arial" w:hAnsi="Arial" w:cs="Arial"/>
                <w:bCs/>
                <w:sz w:val="20"/>
                <w:szCs w:val="20"/>
              </w:rPr>
            </w:pPr>
            <w:r>
              <w:rPr>
                <w:rFonts w:ascii="Arial" w:hAnsi="Arial" w:cs="Arial"/>
                <w:bCs/>
                <w:sz w:val="20"/>
                <w:szCs w:val="20"/>
              </w:rPr>
              <w:t>Y</w:t>
            </w:r>
            <w:r w:rsidRPr="00EE50DC">
              <w:rPr>
                <w:rFonts w:ascii="Arial" w:hAnsi="Arial" w:cs="Arial"/>
                <w:bCs/>
                <w:sz w:val="20"/>
                <w:szCs w:val="20"/>
              </w:rPr>
              <w:t>ellow skin</w:t>
            </w:r>
            <w:r>
              <w:rPr>
                <w:rFonts w:ascii="Arial" w:hAnsi="Arial" w:cs="Arial"/>
                <w:bCs/>
                <w:sz w:val="20"/>
                <w:szCs w:val="20"/>
              </w:rPr>
              <w:t xml:space="preserve"> or yellow eyes</w:t>
            </w:r>
          </w:p>
        </w:tc>
      </w:tr>
      <w:tr w:rsidR="00EE278C" w14:paraId="012CDEE8" w14:textId="77777777" w:rsidTr="00594A5A">
        <w:trPr>
          <w:jc w:val="center"/>
        </w:trPr>
        <w:tc>
          <w:tcPr>
            <w:tcW w:w="5387" w:type="dxa"/>
          </w:tcPr>
          <w:p w14:paraId="3F1AC60E" w14:textId="72238B9A" w:rsidR="00EE278C" w:rsidRDefault="00EE278C" w:rsidP="003F5370">
            <w:pPr>
              <w:pStyle w:val="ListParagraph"/>
              <w:ind w:left="0"/>
              <w:rPr>
                <w:rFonts w:ascii="Arial" w:hAnsi="Arial" w:cs="Arial"/>
                <w:bCs/>
                <w:sz w:val="20"/>
                <w:szCs w:val="20"/>
              </w:rPr>
            </w:pPr>
            <w:r>
              <w:rPr>
                <w:rFonts w:ascii="Arial" w:hAnsi="Arial" w:cs="Arial"/>
                <w:bCs/>
                <w:sz w:val="20"/>
                <w:szCs w:val="20"/>
              </w:rPr>
              <w:t>E</w:t>
            </w:r>
            <w:r w:rsidRPr="00EE50DC">
              <w:rPr>
                <w:rFonts w:ascii="Arial" w:hAnsi="Arial" w:cs="Arial"/>
                <w:bCs/>
                <w:sz w:val="20"/>
                <w:szCs w:val="20"/>
              </w:rPr>
              <w:t>asy bruising</w:t>
            </w:r>
          </w:p>
        </w:tc>
      </w:tr>
      <w:tr w:rsidR="00EE278C" w14:paraId="12115E42" w14:textId="77777777" w:rsidTr="00594A5A">
        <w:trPr>
          <w:jc w:val="center"/>
        </w:trPr>
        <w:tc>
          <w:tcPr>
            <w:tcW w:w="5387" w:type="dxa"/>
          </w:tcPr>
          <w:p w14:paraId="3485F4E9" w14:textId="58AF7FE4" w:rsidR="00EE278C" w:rsidRDefault="00EE278C" w:rsidP="003F5370">
            <w:pPr>
              <w:pStyle w:val="ListParagraph"/>
              <w:ind w:left="0"/>
              <w:rPr>
                <w:rFonts w:ascii="Arial" w:hAnsi="Arial" w:cs="Arial"/>
                <w:bCs/>
                <w:sz w:val="20"/>
                <w:szCs w:val="20"/>
              </w:rPr>
            </w:pPr>
            <w:r>
              <w:rPr>
                <w:rFonts w:ascii="Arial" w:hAnsi="Arial" w:cs="Arial"/>
                <w:bCs/>
                <w:sz w:val="20"/>
                <w:szCs w:val="20"/>
              </w:rPr>
              <w:t>Spontaneous bleeding</w:t>
            </w:r>
          </w:p>
        </w:tc>
      </w:tr>
    </w:tbl>
    <w:p w14:paraId="0E74E02C" w14:textId="77777777" w:rsidR="00D557E3" w:rsidRDefault="00D557E3" w:rsidP="00F61E8B"/>
    <w:p w14:paraId="474828BA" w14:textId="77777777" w:rsidR="00594A5A" w:rsidRPr="00F61E8B" w:rsidRDefault="00594A5A" w:rsidP="00F61E8B"/>
    <w:p w14:paraId="34C8B234" w14:textId="66BE3248" w:rsidR="00435799" w:rsidRPr="00917DCE" w:rsidRDefault="0089230A" w:rsidP="00C43D7D">
      <w:pPr>
        <w:pStyle w:val="Heading2"/>
        <w:numPr>
          <w:ilvl w:val="2"/>
          <w:numId w:val="3"/>
        </w:numPr>
        <w:tabs>
          <w:tab w:val="left" w:pos="-720"/>
          <w:tab w:val="left" w:pos="0"/>
        </w:tabs>
        <w:suppressAutoHyphens/>
        <w:spacing w:after="0"/>
        <w:rPr>
          <w:b w:val="0"/>
        </w:rPr>
      </w:pPr>
      <w:r>
        <w:rPr>
          <w:b w:val="0"/>
        </w:rPr>
        <w:t xml:space="preserve">Any symptoms listed in </w:t>
      </w:r>
      <w:r w:rsidR="00917DCE">
        <w:rPr>
          <w:b w:val="0"/>
        </w:rPr>
        <w:t>7</w:t>
      </w:r>
      <w:r>
        <w:rPr>
          <w:b w:val="0"/>
        </w:rPr>
        <w:t>.</w:t>
      </w:r>
      <w:r w:rsidR="00917DCE">
        <w:rPr>
          <w:b w:val="0"/>
        </w:rPr>
        <w:t>6</w:t>
      </w:r>
      <w:r>
        <w:rPr>
          <w:b w:val="0"/>
        </w:rPr>
        <w:t>.</w:t>
      </w:r>
      <w:r w:rsidR="0041629F">
        <w:rPr>
          <w:b w:val="0"/>
        </w:rPr>
        <w:t>7</w:t>
      </w:r>
      <w:r>
        <w:rPr>
          <w:b w:val="0"/>
        </w:rPr>
        <w:t xml:space="preserve"> should lead to </w:t>
      </w:r>
      <w:r w:rsidR="00917DCE">
        <w:rPr>
          <w:b w:val="0"/>
        </w:rPr>
        <w:t xml:space="preserve">withholding any further administration of rifapentine and INH until </w:t>
      </w:r>
      <w:r>
        <w:rPr>
          <w:b w:val="0"/>
        </w:rPr>
        <w:t xml:space="preserve">prompt review </w:t>
      </w:r>
      <w:r w:rsidR="00917DCE">
        <w:rPr>
          <w:b w:val="0"/>
        </w:rPr>
        <w:lastRenderedPageBreak/>
        <w:t xml:space="preserve">is completed </w:t>
      </w:r>
      <w:r w:rsidR="0041629F">
        <w:rPr>
          <w:b w:val="0"/>
        </w:rPr>
        <w:t>by the Primary Care Provider</w:t>
      </w:r>
      <w:r w:rsidR="00917DCE">
        <w:rPr>
          <w:b w:val="0"/>
        </w:rPr>
        <w:t xml:space="preserve">, to </w:t>
      </w:r>
      <w:r>
        <w:rPr>
          <w:b w:val="0"/>
        </w:rPr>
        <w:t>ensure that symptoms are not</w:t>
      </w:r>
      <w:r w:rsidR="00CC01A9">
        <w:rPr>
          <w:b w:val="0"/>
        </w:rPr>
        <w:t xml:space="preserve"> attributable to an adverse reaction to</w:t>
      </w:r>
      <w:r w:rsidR="006D115B">
        <w:rPr>
          <w:b w:val="0"/>
        </w:rPr>
        <w:t xml:space="preserve"> </w:t>
      </w:r>
      <w:r w:rsidR="00917DCE">
        <w:rPr>
          <w:b w:val="0"/>
        </w:rPr>
        <w:t>r</w:t>
      </w:r>
      <w:r w:rsidR="006D115B">
        <w:rPr>
          <w:b w:val="0"/>
        </w:rPr>
        <w:t>ifa</w:t>
      </w:r>
      <w:r w:rsidR="00917DCE">
        <w:rPr>
          <w:b w:val="0"/>
        </w:rPr>
        <w:t>pentine/INH</w:t>
      </w:r>
      <w:r w:rsidR="006D115B">
        <w:rPr>
          <w:b w:val="0"/>
        </w:rPr>
        <w:t>, with</w:t>
      </w:r>
      <w:r w:rsidR="00DC18E9">
        <w:rPr>
          <w:b w:val="0"/>
        </w:rPr>
        <w:t xml:space="preserve"> </w:t>
      </w:r>
      <w:r w:rsidR="006D115B">
        <w:rPr>
          <w:b w:val="0"/>
        </w:rPr>
        <w:t>further action</w:t>
      </w:r>
      <w:r w:rsidR="00EE278C">
        <w:rPr>
          <w:b w:val="0"/>
        </w:rPr>
        <w:t xml:space="preserve"> to be determined by prescribing </w:t>
      </w:r>
      <w:r w:rsidR="00DC18E9">
        <w:rPr>
          <w:b w:val="0"/>
        </w:rPr>
        <w:t>clinician.</w:t>
      </w:r>
      <w:r w:rsidR="00EE278C">
        <w:rPr>
          <w:b w:val="0"/>
        </w:rPr>
        <w:t xml:space="preserve">  Using clinical judgment, prescribing clinician may choose to discontinue rifapentine/INH due to side effects or to continue with once weekly rifapentine/INH if symptom(s) deemed not related to LTBI treatment.</w:t>
      </w:r>
    </w:p>
    <w:p w14:paraId="126953E7" w14:textId="77777777" w:rsidR="00917DCE" w:rsidRDefault="00917DCE" w:rsidP="00917DCE">
      <w:pPr>
        <w:pStyle w:val="Heading2"/>
        <w:tabs>
          <w:tab w:val="left" w:pos="-720"/>
          <w:tab w:val="left" w:pos="0"/>
        </w:tabs>
        <w:suppressAutoHyphens/>
        <w:spacing w:after="0"/>
        <w:ind w:left="420"/>
      </w:pPr>
    </w:p>
    <w:p w14:paraId="6DC484AE" w14:textId="77777777" w:rsidR="00CC01A9" w:rsidRPr="00CC01A9" w:rsidRDefault="00AA16B6" w:rsidP="00CC01A9">
      <w:pPr>
        <w:pStyle w:val="Heading2"/>
        <w:numPr>
          <w:ilvl w:val="0"/>
          <w:numId w:val="3"/>
        </w:numPr>
        <w:tabs>
          <w:tab w:val="left" w:pos="-720"/>
          <w:tab w:val="left" w:pos="0"/>
        </w:tabs>
        <w:suppressAutoHyphens/>
        <w:spacing w:after="0"/>
      </w:pPr>
      <w:r>
        <w:t xml:space="preserve">PROCEDURE </w:t>
      </w:r>
      <w:r w:rsidR="00917DCE">
        <w:t xml:space="preserve">FOR </w:t>
      </w:r>
      <w:r w:rsidR="00BF4B45">
        <w:t>R</w:t>
      </w:r>
      <w:r w:rsidR="00917DCE">
        <w:t xml:space="preserve">ESPONDING TO SUSPECTED </w:t>
      </w:r>
      <w:r w:rsidR="0041629F">
        <w:t>R</w:t>
      </w:r>
      <w:r w:rsidR="00917DCE">
        <w:t>IFAPENTINE/INH TOXICITY</w:t>
      </w:r>
    </w:p>
    <w:p w14:paraId="2722F728" w14:textId="77777777" w:rsidR="00AA16B6" w:rsidRPr="00B501E7" w:rsidRDefault="00BF4B45" w:rsidP="0041629F">
      <w:pPr>
        <w:pStyle w:val="Heading2"/>
        <w:numPr>
          <w:ilvl w:val="1"/>
          <w:numId w:val="3"/>
        </w:numPr>
        <w:tabs>
          <w:tab w:val="left" w:pos="-720"/>
          <w:tab w:val="left" w:pos="0"/>
        </w:tabs>
        <w:suppressAutoHyphens/>
        <w:spacing w:after="0"/>
        <w:rPr>
          <w:b w:val="0"/>
        </w:rPr>
      </w:pPr>
      <w:r>
        <w:rPr>
          <w:rFonts w:cs="Arial"/>
          <w:szCs w:val="20"/>
        </w:rPr>
        <w:t xml:space="preserve">ALT </w:t>
      </w:r>
      <w:r w:rsidR="00E049A8">
        <w:rPr>
          <w:rFonts w:cs="Arial"/>
          <w:szCs w:val="20"/>
        </w:rPr>
        <w:t xml:space="preserve">slightly </w:t>
      </w:r>
      <w:r>
        <w:rPr>
          <w:rFonts w:cs="Arial"/>
          <w:szCs w:val="20"/>
        </w:rPr>
        <w:t xml:space="preserve">elevated </w:t>
      </w:r>
      <w:r w:rsidR="00E049A8">
        <w:rPr>
          <w:rFonts w:cs="Arial"/>
          <w:szCs w:val="20"/>
        </w:rPr>
        <w:t xml:space="preserve">but less than </w:t>
      </w:r>
      <w:r w:rsidR="00CC01A9">
        <w:rPr>
          <w:rFonts w:cs="Arial"/>
          <w:szCs w:val="20"/>
        </w:rPr>
        <w:t>3X</w:t>
      </w:r>
      <w:r>
        <w:rPr>
          <w:rFonts w:cs="Arial"/>
          <w:szCs w:val="20"/>
        </w:rPr>
        <w:t xml:space="preserve"> upper limit of normal (ULN)</w:t>
      </w:r>
      <w:r w:rsidR="00AA16B6" w:rsidRPr="00BF4B45">
        <w:t>:</w:t>
      </w:r>
    </w:p>
    <w:p w14:paraId="03707B66" w14:textId="77777777" w:rsidR="00AA16B6" w:rsidRDefault="00BF4B45" w:rsidP="00AB0874">
      <w:pPr>
        <w:pStyle w:val="Heading2"/>
        <w:numPr>
          <w:ilvl w:val="2"/>
          <w:numId w:val="3"/>
        </w:numPr>
        <w:tabs>
          <w:tab w:val="left" w:pos="-720"/>
          <w:tab w:val="left" w:pos="0"/>
        </w:tabs>
        <w:suppressAutoHyphens/>
        <w:spacing w:after="0"/>
        <w:rPr>
          <w:b w:val="0"/>
        </w:rPr>
      </w:pPr>
      <w:r>
        <w:rPr>
          <w:b w:val="0"/>
        </w:rPr>
        <w:t xml:space="preserve">Continue </w:t>
      </w:r>
      <w:r w:rsidR="00917DCE">
        <w:rPr>
          <w:b w:val="0"/>
        </w:rPr>
        <w:t>r</w:t>
      </w:r>
      <w:r w:rsidR="005F3009">
        <w:rPr>
          <w:b w:val="0"/>
        </w:rPr>
        <w:t>ifa</w:t>
      </w:r>
      <w:r w:rsidR="00917DCE">
        <w:rPr>
          <w:b w:val="0"/>
        </w:rPr>
        <w:t>pentine/INH</w:t>
      </w:r>
      <w:r w:rsidR="00E049A8">
        <w:rPr>
          <w:b w:val="0"/>
        </w:rPr>
        <w:t>.</w:t>
      </w:r>
    </w:p>
    <w:p w14:paraId="41502E6F" w14:textId="3987049F" w:rsidR="0048087A" w:rsidRPr="0048087A" w:rsidRDefault="0048087A" w:rsidP="0048087A">
      <w:pPr>
        <w:pStyle w:val="Heading2"/>
        <w:numPr>
          <w:ilvl w:val="2"/>
          <w:numId w:val="3"/>
        </w:numPr>
        <w:tabs>
          <w:tab w:val="left" w:pos="-720"/>
          <w:tab w:val="left" w:pos="0"/>
        </w:tabs>
        <w:suppressAutoHyphens/>
        <w:spacing w:after="0"/>
        <w:rPr>
          <w:b w:val="0"/>
        </w:rPr>
      </w:pPr>
      <w:r w:rsidRPr="0048087A">
        <w:rPr>
          <w:b w:val="0"/>
        </w:rPr>
        <w:t>Repeat ALT</w:t>
      </w:r>
      <w:r>
        <w:rPr>
          <w:b w:val="0"/>
        </w:rPr>
        <w:t xml:space="preserve"> and check</w:t>
      </w:r>
      <w:r w:rsidRPr="0048087A">
        <w:rPr>
          <w:b w:val="0"/>
        </w:rPr>
        <w:t xml:space="preserve"> AST, ALP</w:t>
      </w:r>
      <w:r>
        <w:rPr>
          <w:b w:val="0"/>
        </w:rPr>
        <w:t xml:space="preserve"> and</w:t>
      </w:r>
      <w:r w:rsidRPr="0048087A">
        <w:rPr>
          <w:b w:val="0"/>
        </w:rPr>
        <w:t xml:space="preserve"> total bilirubin in 1week. If increasing but asymptomatic, repeat weekly </w:t>
      </w:r>
      <w:r>
        <w:rPr>
          <w:b w:val="0"/>
        </w:rPr>
        <w:t xml:space="preserve">liver enzymes </w:t>
      </w:r>
      <w:r w:rsidRPr="0048087A">
        <w:rPr>
          <w:b w:val="0"/>
        </w:rPr>
        <w:t xml:space="preserve">as above. If stable or decreasing, and still asymptomatic, </w:t>
      </w:r>
      <w:r>
        <w:rPr>
          <w:b w:val="0"/>
        </w:rPr>
        <w:t>check</w:t>
      </w:r>
      <w:r w:rsidRPr="0048087A">
        <w:rPr>
          <w:b w:val="0"/>
        </w:rPr>
        <w:t xml:space="preserve"> monthly </w:t>
      </w:r>
      <w:r>
        <w:rPr>
          <w:b w:val="0"/>
        </w:rPr>
        <w:t>liver enzymes.</w:t>
      </w:r>
    </w:p>
    <w:p w14:paraId="0D3A9E92" w14:textId="77777777" w:rsidR="00EE410D" w:rsidRPr="00E049A8" w:rsidRDefault="00AB0874" w:rsidP="00AB0874">
      <w:pPr>
        <w:pStyle w:val="Heading2"/>
        <w:numPr>
          <w:ilvl w:val="2"/>
          <w:numId w:val="3"/>
        </w:numPr>
        <w:tabs>
          <w:tab w:val="left" w:pos="-720"/>
          <w:tab w:val="left" w:pos="0"/>
        </w:tabs>
        <w:suppressAutoHyphens/>
        <w:spacing w:after="0"/>
        <w:rPr>
          <w:b w:val="0"/>
        </w:rPr>
      </w:pPr>
      <w:r>
        <w:rPr>
          <w:b w:val="0"/>
        </w:rPr>
        <w:t>Nursing Station staff or Primary Care Nurse could c</w:t>
      </w:r>
      <w:r w:rsidR="00EE410D" w:rsidRPr="00E049A8">
        <w:rPr>
          <w:b w:val="0"/>
        </w:rPr>
        <w:t xml:space="preserve">ommunicate results to </w:t>
      </w:r>
      <w:r>
        <w:rPr>
          <w:b w:val="0"/>
        </w:rPr>
        <w:t>the individual</w:t>
      </w:r>
      <w:r w:rsidR="00EE410D" w:rsidRPr="00E049A8">
        <w:rPr>
          <w:b w:val="0"/>
        </w:rPr>
        <w:t xml:space="preserve"> and </w:t>
      </w:r>
      <w:r>
        <w:rPr>
          <w:b w:val="0"/>
        </w:rPr>
        <w:t xml:space="preserve">Primary Care Provider to </w:t>
      </w:r>
      <w:r w:rsidR="00EE410D" w:rsidRPr="00E049A8">
        <w:rPr>
          <w:b w:val="0"/>
        </w:rPr>
        <w:t xml:space="preserve">review whether </w:t>
      </w:r>
      <w:r>
        <w:rPr>
          <w:b w:val="0"/>
        </w:rPr>
        <w:t>the individual</w:t>
      </w:r>
      <w:r w:rsidR="00EE410D" w:rsidRPr="00E049A8">
        <w:rPr>
          <w:b w:val="0"/>
        </w:rPr>
        <w:t xml:space="preserve"> is at increased risk for liver injury (such as underlying chronic liver disease, other medications including acetaminophen</w:t>
      </w:r>
      <w:r>
        <w:rPr>
          <w:b w:val="0"/>
        </w:rPr>
        <w:t>,</w:t>
      </w:r>
      <w:r w:rsidR="00EE410D" w:rsidRPr="00E049A8">
        <w:rPr>
          <w:b w:val="0"/>
        </w:rPr>
        <w:t xml:space="preserve"> or heavy alcohol use</w:t>
      </w:r>
      <w:r w:rsidR="00E049A8">
        <w:rPr>
          <w:b w:val="0"/>
        </w:rPr>
        <w:t>).</w:t>
      </w:r>
    </w:p>
    <w:p w14:paraId="1CE20874" w14:textId="77777777" w:rsidR="00EE410D" w:rsidRDefault="00AB0874" w:rsidP="00AB0874">
      <w:pPr>
        <w:pStyle w:val="Heading2"/>
        <w:numPr>
          <w:ilvl w:val="2"/>
          <w:numId w:val="3"/>
        </w:numPr>
        <w:tabs>
          <w:tab w:val="left" w:pos="-720"/>
          <w:tab w:val="left" w:pos="0"/>
        </w:tabs>
        <w:suppressAutoHyphens/>
        <w:spacing w:after="0"/>
        <w:rPr>
          <w:b w:val="0"/>
        </w:rPr>
      </w:pPr>
      <w:r>
        <w:rPr>
          <w:b w:val="0"/>
        </w:rPr>
        <w:t>Nursing Station staff or the Primary Care Provider is responsible to advise the Primary Care Nurse to e</w:t>
      </w:r>
      <w:r w:rsidR="00EE410D">
        <w:rPr>
          <w:b w:val="0"/>
        </w:rPr>
        <w:t xml:space="preserve">ncourage </w:t>
      </w:r>
      <w:r>
        <w:rPr>
          <w:b w:val="0"/>
        </w:rPr>
        <w:t>the individual</w:t>
      </w:r>
      <w:r w:rsidR="00EE410D">
        <w:rPr>
          <w:b w:val="0"/>
        </w:rPr>
        <w:t xml:space="preserve"> to avoid or minimize use of acetaminophen or alcohol (as appropriate)</w:t>
      </w:r>
      <w:r w:rsidR="00E049A8">
        <w:rPr>
          <w:b w:val="0"/>
        </w:rPr>
        <w:t>.</w:t>
      </w:r>
    </w:p>
    <w:p w14:paraId="266B1392" w14:textId="660F2F4A" w:rsidR="00445CDD" w:rsidRPr="00D557E3" w:rsidRDefault="00AB0874" w:rsidP="00D557E3">
      <w:pPr>
        <w:pStyle w:val="Heading2"/>
        <w:numPr>
          <w:ilvl w:val="2"/>
          <w:numId w:val="3"/>
        </w:numPr>
        <w:tabs>
          <w:tab w:val="left" w:pos="-720"/>
          <w:tab w:val="left" w:pos="0"/>
        </w:tabs>
        <w:suppressAutoHyphens/>
        <w:spacing w:after="0"/>
        <w:rPr>
          <w:b w:val="0"/>
        </w:rPr>
      </w:pPr>
      <w:r>
        <w:rPr>
          <w:b w:val="0"/>
        </w:rPr>
        <w:t>Nursing Station staff or Primary Care Provider is responsible for ordering the test to r</w:t>
      </w:r>
      <w:r w:rsidR="00EE410D" w:rsidRPr="00E049A8">
        <w:rPr>
          <w:b w:val="0"/>
        </w:rPr>
        <w:t xml:space="preserve">epeat </w:t>
      </w:r>
      <w:r w:rsidR="00855E79">
        <w:rPr>
          <w:b w:val="0"/>
        </w:rPr>
        <w:t xml:space="preserve">all liver </w:t>
      </w:r>
      <w:r>
        <w:rPr>
          <w:b w:val="0"/>
        </w:rPr>
        <w:t>enzymes</w:t>
      </w:r>
      <w:r w:rsidR="00E049A8">
        <w:rPr>
          <w:b w:val="0"/>
        </w:rPr>
        <w:t>.</w:t>
      </w:r>
    </w:p>
    <w:p w14:paraId="74DAA22D" w14:textId="77777777" w:rsidR="00EE410D" w:rsidRPr="00B501E7" w:rsidRDefault="00CC01A9" w:rsidP="00AB0874">
      <w:pPr>
        <w:pStyle w:val="Heading2"/>
        <w:numPr>
          <w:ilvl w:val="1"/>
          <w:numId w:val="3"/>
        </w:numPr>
        <w:tabs>
          <w:tab w:val="left" w:pos="-720"/>
          <w:tab w:val="left" w:pos="0"/>
        </w:tabs>
        <w:suppressAutoHyphens/>
        <w:spacing w:after="0"/>
        <w:rPr>
          <w:b w:val="0"/>
        </w:rPr>
      </w:pPr>
      <w:r>
        <w:rPr>
          <w:rFonts w:cs="Arial"/>
          <w:szCs w:val="20"/>
        </w:rPr>
        <w:t xml:space="preserve">ALT elevated &gt;3X </w:t>
      </w:r>
      <w:r w:rsidR="00AB0874">
        <w:rPr>
          <w:rFonts w:cs="Arial"/>
          <w:szCs w:val="20"/>
        </w:rPr>
        <w:t>(</w:t>
      </w:r>
      <w:r>
        <w:rPr>
          <w:rFonts w:cs="Arial"/>
          <w:szCs w:val="20"/>
        </w:rPr>
        <w:t>but less than 5X</w:t>
      </w:r>
      <w:r w:rsidR="00AB0874">
        <w:rPr>
          <w:rFonts w:cs="Arial"/>
          <w:szCs w:val="20"/>
        </w:rPr>
        <w:t>)</w:t>
      </w:r>
      <w:r>
        <w:rPr>
          <w:rFonts w:cs="Arial"/>
          <w:szCs w:val="20"/>
        </w:rPr>
        <w:t xml:space="preserve"> ULN</w:t>
      </w:r>
      <w:r w:rsidR="00E049A8">
        <w:rPr>
          <w:rFonts w:cs="Arial"/>
          <w:szCs w:val="20"/>
        </w:rPr>
        <w:t xml:space="preserve"> </w:t>
      </w:r>
      <w:r w:rsidR="00562F07">
        <w:rPr>
          <w:rFonts w:cs="Arial"/>
          <w:szCs w:val="20"/>
        </w:rPr>
        <w:t>with NO</w:t>
      </w:r>
      <w:r w:rsidR="00EE410D">
        <w:rPr>
          <w:rFonts w:cs="Arial"/>
          <w:szCs w:val="20"/>
        </w:rPr>
        <w:t xml:space="preserve"> symptoms of liver </w:t>
      </w:r>
      <w:r>
        <w:rPr>
          <w:rFonts w:cs="Arial"/>
          <w:szCs w:val="20"/>
        </w:rPr>
        <w:t>injury</w:t>
      </w:r>
      <w:r w:rsidR="00855E79">
        <w:rPr>
          <w:rFonts w:cs="Arial"/>
          <w:szCs w:val="20"/>
        </w:rPr>
        <w:t xml:space="preserve"> or other adverse reaction</w:t>
      </w:r>
      <w:r w:rsidR="00EE410D" w:rsidRPr="00BF4B45">
        <w:t>:</w:t>
      </w:r>
    </w:p>
    <w:p w14:paraId="028C85E6" w14:textId="77777777" w:rsidR="00EE410D" w:rsidRDefault="00EE410D" w:rsidP="00AB0874">
      <w:pPr>
        <w:pStyle w:val="Heading2"/>
        <w:numPr>
          <w:ilvl w:val="2"/>
          <w:numId w:val="3"/>
        </w:numPr>
        <w:tabs>
          <w:tab w:val="left" w:pos="-720"/>
          <w:tab w:val="left" w:pos="0"/>
        </w:tabs>
        <w:suppressAutoHyphens/>
        <w:spacing w:after="0"/>
        <w:rPr>
          <w:b w:val="0"/>
        </w:rPr>
      </w:pPr>
      <w:r>
        <w:rPr>
          <w:b w:val="0"/>
        </w:rPr>
        <w:t xml:space="preserve">Continue </w:t>
      </w:r>
      <w:r w:rsidR="00C55415">
        <w:rPr>
          <w:b w:val="0"/>
        </w:rPr>
        <w:t>r</w:t>
      </w:r>
      <w:r w:rsidR="005F3009">
        <w:rPr>
          <w:b w:val="0"/>
        </w:rPr>
        <w:t>ifa</w:t>
      </w:r>
      <w:r w:rsidR="00C55415">
        <w:rPr>
          <w:b w:val="0"/>
        </w:rPr>
        <w:t>pentine/INH</w:t>
      </w:r>
      <w:r w:rsidR="00E049A8">
        <w:rPr>
          <w:b w:val="0"/>
        </w:rPr>
        <w:t>.</w:t>
      </w:r>
    </w:p>
    <w:p w14:paraId="6DEDAA44" w14:textId="65DB3070" w:rsidR="0048087A" w:rsidRDefault="0048087A" w:rsidP="00AB0874">
      <w:pPr>
        <w:pStyle w:val="Heading2"/>
        <w:numPr>
          <w:ilvl w:val="2"/>
          <w:numId w:val="3"/>
        </w:numPr>
        <w:tabs>
          <w:tab w:val="left" w:pos="-720"/>
          <w:tab w:val="left" w:pos="0"/>
        </w:tabs>
        <w:suppressAutoHyphens/>
        <w:spacing w:after="0"/>
        <w:rPr>
          <w:b w:val="0"/>
        </w:rPr>
      </w:pPr>
      <w:r w:rsidRPr="0048087A">
        <w:rPr>
          <w:b w:val="0"/>
        </w:rPr>
        <w:t>Repeat ALT</w:t>
      </w:r>
      <w:r>
        <w:rPr>
          <w:b w:val="0"/>
        </w:rPr>
        <w:t xml:space="preserve"> and check</w:t>
      </w:r>
      <w:r w:rsidRPr="0048087A">
        <w:rPr>
          <w:b w:val="0"/>
        </w:rPr>
        <w:t xml:space="preserve"> AST, ALP</w:t>
      </w:r>
      <w:r>
        <w:rPr>
          <w:b w:val="0"/>
        </w:rPr>
        <w:t xml:space="preserve"> and</w:t>
      </w:r>
      <w:r w:rsidRPr="0048087A">
        <w:rPr>
          <w:b w:val="0"/>
        </w:rPr>
        <w:t xml:space="preserve"> total bilirubin in 1week. If increasing but still asymptomatic, repeat weekly </w:t>
      </w:r>
      <w:r>
        <w:rPr>
          <w:b w:val="0"/>
        </w:rPr>
        <w:t xml:space="preserve">liver enzymes </w:t>
      </w:r>
      <w:r w:rsidRPr="0048087A">
        <w:rPr>
          <w:b w:val="0"/>
        </w:rPr>
        <w:t xml:space="preserve">as </w:t>
      </w:r>
      <w:r w:rsidRPr="0048087A">
        <w:rPr>
          <w:b w:val="0"/>
        </w:rPr>
        <w:lastRenderedPageBreak/>
        <w:t xml:space="preserve">above. If stable or decreasing, and still asymptomatic, </w:t>
      </w:r>
      <w:r>
        <w:rPr>
          <w:b w:val="0"/>
        </w:rPr>
        <w:t>check</w:t>
      </w:r>
      <w:r w:rsidRPr="0048087A">
        <w:rPr>
          <w:b w:val="0"/>
        </w:rPr>
        <w:t xml:space="preserve"> monthly </w:t>
      </w:r>
      <w:r>
        <w:rPr>
          <w:b w:val="0"/>
        </w:rPr>
        <w:t>liver enzymes.</w:t>
      </w:r>
    </w:p>
    <w:p w14:paraId="63F96B3F" w14:textId="77777777" w:rsidR="00EE410D" w:rsidRPr="0048087A" w:rsidRDefault="00AB0874" w:rsidP="00AB0874">
      <w:pPr>
        <w:pStyle w:val="Heading2"/>
        <w:numPr>
          <w:ilvl w:val="2"/>
          <w:numId w:val="3"/>
        </w:numPr>
        <w:tabs>
          <w:tab w:val="left" w:pos="-720"/>
          <w:tab w:val="left" w:pos="0"/>
        </w:tabs>
        <w:suppressAutoHyphens/>
        <w:spacing w:after="0"/>
        <w:rPr>
          <w:b w:val="0"/>
        </w:rPr>
      </w:pPr>
      <w:r>
        <w:rPr>
          <w:b w:val="0"/>
        </w:rPr>
        <w:t>Nursing Station staff or Primary Care Nurse to c</w:t>
      </w:r>
      <w:r w:rsidR="00EE410D">
        <w:rPr>
          <w:b w:val="0"/>
        </w:rPr>
        <w:t xml:space="preserve">ommunicate results to </w:t>
      </w:r>
      <w:r>
        <w:rPr>
          <w:b w:val="0"/>
        </w:rPr>
        <w:t>the individual</w:t>
      </w:r>
      <w:r w:rsidR="00EE410D">
        <w:rPr>
          <w:b w:val="0"/>
        </w:rPr>
        <w:t xml:space="preserve"> and monitor</w:t>
      </w:r>
      <w:r>
        <w:rPr>
          <w:b w:val="0"/>
        </w:rPr>
        <w:t>s</w:t>
      </w:r>
      <w:r w:rsidR="00EE410D">
        <w:rPr>
          <w:b w:val="0"/>
        </w:rPr>
        <w:t xml:space="preserve"> closely for symptoms of liver toxicity</w:t>
      </w:r>
      <w:r w:rsidR="0082336A">
        <w:rPr>
          <w:b w:val="0"/>
        </w:rPr>
        <w:t xml:space="preserve"> and/or </w:t>
      </w:r>
      <w:r w:rsidR="005B7797">
        <w:rPr>
          <w:b w:val="0"/>
        </w:rPr>
        <w:t xml:space="preserve">other </w:t>
      </w:r>
      <w:r w:rsidR="0082336A">
        <w:rPr>
          <w:b w:val="0"/>
        </w:rPr>
        <w:t>adverse effects</w:t>
      </w:r>
      <w:r w:rsidR="00EE410D">
        <w:rPr>
          <w:b w:val="0"/>
        </w:rPr>
        <w:t xml:space="preserve"> (see </w:t>
      </w:r>
      <w:r w:rsidR="00C55415">
        <w:rPr>
          <w:b w:val="0"/>
        </w:rPr>
        <w:t>7</w:t>
      </w:r>
      <w:r w:rsidR="00EE410D">
        <w:rPr>
          <w:b w:val="0"/>
        </w:rPr>
        <w:t>.</w:t>
      </w:r>
      <w:r w:rsidR="00C55415">
        <w:rPr>
          <w:b w:val="0"/>
        </w:rPr>
        <w:t>6</w:t>
      </w:r>
      <w:r w:rsidR="00EE410D">
        <w:rPr>
          <w:b w:val="0"/>
        </w:rPr>
        <w:t>.</w:t>
      </w:r>
      <w:r>
        <w:rPr>
          <w:b w:val="0"/>
        </w:rPr>
        <w:t>7</w:t>
      </w:r>
      <w:r w:rsidR="00EE410D">
        <w:rPr>
          <w:b w:val="0"/>
        </w:rPr>
        <w:t>)</w:t>
      </w:r>
      <w:r>
        <w:rPr>
          <w:b w:val="0"/>
        </w:rPr>
        <w:t xml:space="preserve">, and reports any </w:t>
      </w:r>
      <w:r w:rsidRPr="0048087A">
        <w:rPr>
          <w:b w:val="0"/>
        </w:rPr>
        <w:t>symptoms to Primary Care Provider</w:t>
      </w:r>
      <w:r w:rsidR="00E049A8" w:rsidRPr="0048087A">
        <w:rPr>
          <w:b w:val="0"/>
        </w:rPr>
        <w:t>.</w:t>
      </w:r>
    </w:p>
    <w:p w14:paraId="72942D8C" w14:textId="77777777" w:rsidR="00EE410D" w:rsidRPr="00EE410D" w:rsidRDefault="00AB0874" w:rsidP="00AB0874">
      <w:pPr>
        <w:pStyle w:val="Heading2"/>
        <w:numPr>
          <w:ilvl w:val="2"/>
          <w:numId w:val="3"/>
        </w:numPr>
        <w:tabs>
          <w:tab w:val="left" w:pos="-720"/>
          <w:tab w:val="left" w:pos="0"/>
        </w:tabs>
        <w:suppressAutoHyphens/>
        <w:spacing w:after="0"/>
        <w:rPr>
          <w:b w:val="0"/>
        </w:rPr>
      </w:pPr>
      <w:r w:rsidRPr="0048087A">
        <w:rPr>
          <w:b w:val="0"/>
        </w:rPr>
        <w:t>Nursing Station staff or</w:t>
      </w:r>
      <w:r>
        <w:rPr>
          <w:b w:val="0"/>
        </w:rPr>
        <w:t xml:space="preserve"> Primary Care Provider is responsible to r</w:t>
      </w:r>
      <w:r w:rsidR="00EE410D">
        <w:rPr>
          <w:b w:val="0"/>
        </w:rPr>
        <w:t xml:space="preserve">eview whether </w:t>
      </w:r>
      <w:r>
        <w:rPr>
          <w:b w:val="0"/>
        </w:rPr>
        <w:t>the individual</w:t>
      </w:r>
      <w:r w:rsidR="00EE410D">
        <w:rPr>
          <w:b w:val="0"/>
        </w:rPr>
        <w:t xml:space="preserve"> is at increased risk for liver injury</w:t>
      </w:r>
      <w:r w:rsidR="002251FB">
        <w:rPr>
          <w:b w:val="0"/>
        </w:rPr>
        <w:t xml:space="preserve"> </w:t>
      </w:r>
      <w:r w:rsidR="00EE410D">
        <w:rPr>
          <w:b w:val="0"/>
        </w:rPr>
        <w:t>such as underlying chronic liver disease, other medications including acetaminophen</w:t>
      </w:r>
      <w:r w:rsidR="00CC01A9">
        <w:rPr>
          <w:b w:val="0"/>
        </w:rPr>
        <w:t>,</w:t>
      </w:r>
      <w:r w:rsidR="00EE410D">
        <w:rPr>
          <w:b w:val="0"/>
        </w:rPr>
        <w:t xml:space="preserve"> or heavy alcohol use</w:t>
      </w:r>
      <w:r w:rsidR="00E049A8">
        <w:rPr>
          <w:b w:val="0"/>
        </w:rPr>
        <w:t>.</w:t>
      </w:r>
    </w:p>
    <w:p w14:paraId="39A446A6" w14:textId="77777777" w:rsidR="00EE410D" w:rsidRDefault="00AB0874" w:rsidP="00AB0874">
      <w:pPr>
        <w:pStyle w:val="Heading2"/>
        <w:numPr>
          <w:ilvl w:val="2"/>
          <w:numId w:val="3"/>
        </w:numPr>
        <w:tabs>
          <w:tab w:val="left" w:pos="-720"/>
          <w:tab w:val="left" w:pos="0"/>
        </w:tabs>
        <w:suppressAutoHyphens/>
        <w:spacing w:after="0"/>
        <w:rPr>
          <w:b w:val="0"/>
        </w:rPr>
      </w:pPr>
      <w:r>
        <w:rPr>
          <w:b w:val="0"/>
        </w:rPr>
        <w:t>Nursing Station staff or Primary Care Provider and Primary Care Nurse e</w:t>
      </w:r>
      <w:r w:rsidR="00EE410D">
        <w:rPr>
          <w:b w:val="0"/>
        </w:rPr>
        <w:t>ncourage</w:t>
      </w:r>
      <w:r>
        <w:rPr>
          <w:b w:val="0"/>
        </w:rPr>
        <w:t>s</w:t>
      </w:r>
      <w:r w:rsidR="00EE410D">
        <w:rPr>
          <w:b w:val="0"/>
        </w:rPr>
        <w:t xml:space="preserve"> </w:t>
      </w:r>
      <w:r>
        <w:rPr>
          <w:b w:val="0"/>
        </w:rPr>
        <w:t>the individual</w:t>
      </w:r>
      <w:r w:rsidR="00EE410D">
        <w:rPr>
          <w:b w:val="0"/>
        </w:rPr>
        <w:t xml:space="preserve"> to avoid or minimize use of acetaminophen or alcohol (as appropriate)</w:t>
      </w:r>
      <w:r w:rsidR="00E049A8">
        <w:rPr>
          <w:b w:val="0"/>
        </w:rPr>
        <w:t>.</w:t>
      </w:r>
    </w:p>
    <w:p w14:paraId="6E3732A2" w14:textId="196077DB" w:rsidR="00EE410D" w:rsidRDefault="00AB0874" w:rsidP="00AB0874">
      <w:pPr>
        <w:pStyle w:val="Heading2"/>
        <w:numPr>
          <w:ilvl w:val="2"/>
          <w:numId w:val="3"/>
        </w:numPr>
        <w:tabs>
          <w:tab w:val="left" w:pos="-720"/>
          <w:tab w:val="left" w:pos="0"/>
        </w:tabs>
        <w:suppressAutoHyphens/>
        <w:spacing w:after="0"/>
        <w:rPr>
          <w:b w:val="0"/>
        </w:rPr>
      </w:pPr>
      <w:r>
        <w:rPr>
          <w:b w:val="0"/>
        </w:rPr>
        <w:t>Nursing Station staff or Primary Care Provider is responsible to r</w:t>
      </w:r>
      <w:r w:rsidR="00EE410D">
        <w:rPr>
          <w:b w:val="0"/>
        </w:rPr>
        <w:t xml:space="preserve">epeat </w:t>
      </w:r>
      <w:r w:rsidR="00855E79">
        <w:rPr>
          <w:b w:val="0"/>
        </w:rPr>
        <w:t xml:space="preserve">all liver </w:t>
      </w:r>
      <w:r>
        <w:rPr>
          <w:b w:val="0"/>
        </w:rPr>
        <w:t>enzymes</w:t>
      </w:r>
      <w:r w:rsidR="00E049A8">
        <w:rPr>
          <w:b w:val="0"/>
        </w:rPr>
        <w:t>.</w:t>
      </w:r>
    </w:p>
    <w:p w14:paraId="569E5302" w14:textId="77777777" w:rsidR="00EE410D" w:rsidRPr="00C55415" w:rsidRDefault="00EE410D" w:rsidP="00EE410D">
      <w:pPr>
        <w:pStyle w:val="Heading2"/>
        <w:numPr>
          <w:ilvl w:val="2"/>
          <w:numId w:val="3"/>
        </w:numPr>
        <w:tabs>
          <w:tab w:val="left" w:pos="-720"/>
          <w:tab w:val="left" w:pos="0"/>
        </w:tabs>
        <w:suppressAutoHyphens/>
        <w:spacing w:after="0"/>
        <w:rPr>
          <w:b w:val="0"/>
        </w:rPr>
      </w:pPr>
      <w:r>
        <w:rPr>
          <w:b w:val="0"/>
        </w:rPr>
        <w:t xml:space="preserve">If becomes symptomatic, go to </w:t>
      </w:r>
      <w:r w:rsidR="00C55415">
        <w:rPr>
          <w:b w:val="0"/>
        </w:rPr>
        <w:t>8</w:t>
      </w:r>
      <w:r>
        <w:rPr>
          <w:b w:val="0"/>
        </w:rPr>
        <w:t>.</w:t>
      </w:r>
      <w:r w:rsidR="00E049A8">
        <w:rPr>
          <w:b w:val="0"/>
        </w:rPr>
        <w:t>3.</w:t>
      </w:r>
    </w:p>
    <w:p w14:paraId="12E34BC5" w14:textId="77777777" w:rsidR="00BF4B45" w:rsidRPr="00B501E7" w:rsidRDefault="00BF4B45" w:rsidP="00AB0874">
      <w:pPr>
        <w:pStyle w:val="Heading2"/>
        <w:numPr>
          <w:ilvl w:val="1"/>
          <w:numId w:val="3"/>
        </w:numPr>
        <w:tabs>
          <w:tab w:val="left" w:pos="-720"/>
          <w:tab w:val="left" w:pos="0"/>
        </w:tabs>
        <w:suppressAutoHyphens/>
        <w:spacing w:after="0"/>
        <w:rPr>
          <w:b w:val="0"/>
        </w:rPr>
      </w:pPr>
      <w:r>
        <w:rPr>
          <w:rFonts w:cs="Arial"/>
          <w:szCs w:val="20"/>
        </w:rPr>
        <w:t xml:space="preserve">ALT elevated </w:t>
      </w:r>
      <w:r w:rsidR="00CC01A9">
        <w:rPr>
          <w:rFonts w:cs="Arial"/>
          <w:szCs w:val="20"/>
        </w:rPr>
        <w:t xml:space="preserve">&gt;3X </w:t>
      </w:r>
      <w:r w:rsidR="00AB0874">
        <w:rPr>
          <w:rFonts w:cs="Arial"/>
          <w:szCs w:val="20"/>
        </w:rPr>
        <w:t>(</w:t>
      </w:r>
      <w:r w:rsidR="00CC01A9">
        <w:rPr>
          <w:rFonts w:cs="Arial"/>
          <w:szCs w:val="20"/>
        </w:rPr>
        <w:t>but less than 5X</w:t>
      </w:r>
      <w:r w:rsidR="00AB0874">
        <w:rPr>
          <w:rFonts w:cs="Arial"/>
          <w:szCs w:val="20"/>
        </w:rPr>
        <w:t>)</w:t>
      </w:r>
      <w:r w:rsidR="00CC01A9">
        <w:rPr>
          <w:rFonts w:cs="Arial"/>
          <w:szCs w:val="20"/>
        </w:rPr>
        <w:t xml:space="preserve"> </w:t>
      </w:r>
      <w:r>
        <w:rPr>
          <w:rFonts w:cs="Arial"/>
          <w:szCs w:val="20"/>
        </w:rPr>
        <w:t>ULN</w:t>
      </w:r>
      <w:r w:rsidR="00CC01A9">
        <w:rPr>
          <w:rFonts w:cs="Arial"/>
          <w:szCs w:val="20"/>
        </w:rPr>
        <w:t xml:space="preserve"> WITH </w:t>
      </w:r>
      <w:r>
        <w:rPr>
          <w:rFonts w:cs="Arial"/>
          <w:szCs w:val="20"/>
        </w:rPr>
        <w:t xml:space="preserve">symptoms of liver </w:t>
      </w:r>
      <w:r w:rsidR="00562F07">
        <w:rPr>
          <w:rFonts w:cs="Arial"/>
          <w:szCs w:val="20"/>
        </w:rPr>
        <w:t xml:space="preserve">injury </w:t>
      </w:r>
      <w:r w:rsidR="00855E79">
        <w:rPr>
          <w:rFonts w:cs="Arial"/>
          <w:szCs w:val="20"/>
        </w:rPr>
        <w:t>or other adverse reaction</w:t>
      </w:r>
      <w:r w:rsidRPr="00BF4B45">
        <w:t>:</w:t>
      </w:r>
    </w:p>
    <w:p w14:paraId="34DE8874" w14:textId="77777777" w:rsidR="00BF4B45" w:rsidRDefault="00D735EC" w:rsidP="00AB0874">
      <w:pPr>
        <w:pStyle w:val="Heading2"/>
        <w:numPr>
          <w:ilvl w:val="2"/>
          <w:numId w:val="3"/>
        </w:numPr>
        <w:tabs>
          <w:tab w:val="left" w:pos="-720"/>
          <w:tab w:val="left" w:pos="0"/>
        </w:tabs>
        <w:suppressAutoHyphens/>
        <w:spacing w:after="0"/>
        <w:rPr>
          <w:b w:val="0"/>
        </w:rPr>
      </w:pPr>
      <w:r>
        <w:rPr>
          <w:b w:val="0"/>
        </w:rPr>
        <w:t xml:space="preserve">The Nursing Station staff or Primary Care Provider would give direction to </w:t>
      </w:r>
      <w:r w:rsidRPr="00D735EC">
        <w:t>s</w:t>
      </w:r>
      <w:r w:rsidR="00562F07" w:rsidRPr="00D735EC">
        <w:t>top</w:t>
      </w:r>
      <w:r w:rsidR="00BF4B45" w:rsidRPr="00D735EC">
        <w:t xml:space="preserve"> </w:t>
      </w:r>
      <w:r w:rsidR="00C55415">
        <w:t>rifapentine/INH</w:t>
      </w:r>
      <w:r>
        <w:rPr>
          <w:b w:val="0"/>
        </w:rPr>
        <w:t xml:space="preserve"> and complete the following:</w:t>
      </w:r>
    </w:p>
    <w:p w14:paraId="58259358" w14:textId="77777777" w:rsidR="00BF4B45" w:rsidRPr="00B501E7" w:rsidRDefault="00C55415" w:rsidP="00D735EC">
      <w:pPr>
        <w:pStyle w:val="Heading2"/>
        <w:numPr>
          <w:ilvl w:val="3"/>
          <w:numId w:val="3"/>
        </w:numPr>
        <w:tabs>
          <w:tab w:val="left" w:pos="-720"/>
          <w:tab w:val="left" w:pos="0"/>
        </w:tabs>
        <w:suppressAutoHyphens/>
        <w:spacing w:after="0"/>
        <w:rPr>
          <w:b w:val="0"/>
        </w:rPr>
      </w:pPr>
      <w:r>
        <w:rPr>
          <w:b w:val="0"/>
        </w:rPr>
        <w:t>Check</w:t>
      </w:r>
      <w:r w:rsidR="00855E79">
        <w:rPr>
          <w:b w:val="0"/>
        </w:rPr>
        <w:t xml:space="preserve"> </w:t>
      </w:r>
      <w:r>
        <w:rPr>
          <w:b w:val="0"/>
        </w:rPr>
        <w:t>liver enzymes</w:t>
      </w:r>
      <w:r w:rsidR="00D735EC">
        <w:rPr>
          <w:b w:val="0"/>
        </w:rPr>
        <w:t>, INR, albumin</w:t>
      </w:r>
      <w:r w:rsidR="00855E79">
        <w:rPr>
          <w:b w:val="0"/>
        </w:rPr>
        <w:t xml:space="preserve"> and CBC</w:t>
      </w:r>
      <w:r w:rsidR="00562F07">
        <w:rPr>
          <w:b w:val="0"/>
        </w:rPr>
        <w:t xml:space="preserve"> as soon as possible.</w:t>
      </w:r>
    </w:p>
    <w:p w14:paraId="34928291" w14:textId="77777777" w:rsidR="00EE410D" w:rsidRDefault="00D735EC" w:rsidP="00D735EC">
      <w:pPr>
        <w:pStyle w:val="Heading2"/>
        <w:numPr>
          <w:ilvl w:val="3"/>
          <w:numId w:val="3"/>
        </w:numPr>
        <w:tabs>
          <w:tab w:val="left" w:pos="-720"/>
          <w:tab w:val="left" w:pos="0"/>
        </w:tabs>
        <w:suppressAutoHyphens/>
        <w:spacing w:after="0"/>
        <w:rPr>
          <w:b w:val="0"/>
        </w:rPr>
      </w:pPr>
      <w:r>
        <w:rPr>
          <w:b w:val="0"/>
        </w:rPr>
        <w:t>Follow</w:t>
      </w:r>
      <w:r w:rsidR="00855E79">
        <w:rPr>
          <w:b w:val="0"/>
        </w:rPr>
        <w:t xml:space="preserve"> liver </w:t>
      </w:r>
      <w:r>
        <w:rPr>
          <w:b w:val="0"/>
        </w:rPr>
        <w:t>enzymes</w:t>
      </w:r>
      <w:r w:rsidR="00855E79">
        <w:rPr>
          <w:b w:val="0"/>
        </w:rPr>
        <w:t xml:space="preserve"> every 5 to 7 days.  If furth</w:t>
      </w:r>
      <w:r w:rsidR="00DA34EC">
        <w:rPr>
          <w:b w:val="0"/>
        </w:rPr>
        <w:t xml:space="preserve">er elevation occurs to &gt; 5X </w:t>
      </w:r>
      <w:r w:rsidR="00EE410D">
        <w:rPr>
          <w:b w:val="0"/>
        </w:rPr>
        <w:t>ULN</w:t>
      </w:r>
      <w:r w:rsidR="00855E79">
        <w:rPr>
          <w:b w:val="0"/>
        </w:rPr>
        <w:t>,</w:t>
      </w:r>
      <w:r w:rsidR="00EE410D">
        <w:rPr>
          <w:b w:val="0"/>
        </w:rPr>
        <w:t xml:space="preserve"> or if direct bilirubin elevated, go to </w:t>
      </w:r>
      <w:r w:rsidR="00C55415">
        <w:rPr>
          <w:b w:val="0"/>
        </w:rPr>
        <w:t>8</w:t>
      </w:r>
      <w:r w:rsidR="00EE410D">
        <w:rPr>
          <w:b w:val="0"/>
        </w:rPr>
        <w:t>.</w:t>
      </w:r>
      <w:r w:rsidR="00E049A8">
        <w:rPr>
          <w:b w:val="0"/>
        </w:rPr>
        <w:t>4.</w:t>
      </w:r>
    </w:p>
    <w:p w14:paraId="73A7C838" w14:textId="77777777" w:rsidR="00445CDD" w:rsidRPr="00C55415" w:rsidRDefault="00EE410D" w:rsidP="00C55415">
      <w:pPr>
        <w:pStyle w:val="Heading2"/>
        <w:numPr>
          <w:ilvl w:val="3"/>
          <w:numId w:val="3"/>
        </w:numPr>
        <w:tabs>
          <w:tab w:val="left" w:pos="-720"/>
          <w:tab w:val="left" w:pos="0"/>
        </w:tabs>
        <w:suppressAutoHyphens/>
        <w:spacing w:after="0"/>
        <w:rPr>
          <w:b w:val="0"/>
        </w:rPr>
      </w:pPr>
      <w:r>
        <w:rPr>
          <w:b w:val="0"/>
        </w:rPr>
        <w:t>Continue to check liver enzymes weekly until bac</w:t>
      </w:r>
      <w:r w:rsidR="006A239C">
        <w:rPr>
          <w:b w:val="0"/>
        </w:rPr>
        <w:t xml:space="preserve">k to normal.  </w:t>
      </w:r>
      <w:r w:rsidR="00D735EC">
        <w:rPr>
          <w:b w:val="0"/>
        </w:rPr>
        <w:t xml:space="preserve">Nursing Station staff or Primary Care Provider </w:t>
      </w:r>
      <w:r w:rsidR="00D735EC">
        <w:rPr>
          <w:b w:val="0"/>
        </w:rPr>
        <w:lastRenderedPageBreak/>
        <w:t>would give direction to a</w:t>
      </w:r>
      <w:r w:rsidR="006A239C">
        <w:rPr>
          <w:b w:val="0"/>
        </w:rPr>
        <w:t xml:space="preserve">rrange appointment to review </w:t>
      </w:r>
      <w:r w:rsidR="00D735EC">
        <w:rPr>
          <w:b w:val="0"/>
        </w:rPr>
        <w:t>adverse reaction</w:t>
      </w:r>
      <w:r w:rsidR="00E049A8">
        <w:rPr>
          <w:b w:val="0"/>
        </w:rPr>
        <w:t>.</w:t>
      </w:r>
    </w:p>
    <w:p w14:paraId="06B8FA7E" w14:textId="77777777" w:rsidR="00D735EC" w:rsidRPr="00D735EC" w:rsidRDefault="00BF4B45" w:rsidP="00D735EC">
      <w:pPr>
        <w:pStyle w:val="Heading2"/>
        <w:numPr>
          <w:ilvl w:val="1"/>
          <w:numId w:val="3"/>
        </w:numPr>
        <w:tabs>
          <w:tab w:val="left" w:pos="-720"/>
          <w:tab w:val="left" w:pos="0"/>
        </w:tabs>
        <w:suppressAutoHyphens/>
        <w:spacing w:after="0"/>
      </w:pPr>
      <w:r>
        <w:rPr>
          <w:rFonts w:cs="Arial"/>
          <w:szCs w:val="20"/>
        </w:rPr>
        <w:t>ALT elevated &gt;</w:t>
      </w:r>
      <w:r w:rsidR="00E049A8">
        <w:rPr>
          <w:rFonts w:cs="Arial"/>
          <w:szCs w:val="20"/>
        </w:rPr>
        <w:t>5</w:t>
      </w:r>
      <w:r w:rsidR="00DA34EC">
        <w:rPr>
          <w:rFonts w:cs="Arial"/>
          <w:szCs w:val="20"/>
        </w:rPr>
        <w:t>X</w:t>
      </w:r>
      <w:r>
        <w:rPr>
          <w:rFonts w:cs="Arial"/>
          <w:szCs w:val="20"/>
        </w:rPr>
        <w:t xml:space="preserve"> ULN </w:t>
      </w:r>
      <w:r w:rsidR="00E049A8">
        <w:rPr>
          <w:rFonts w:cs="Arial"/>
          <w:szCs w:val="20"/>
        </w:rPr>
        <w:t>(or</w:t>
      </w:r>
      <w:r w:rsidR="00DA34EC">
        <w:rPr>
          <w:rFonts w:cs="Arial"/>
          <w:szCs w:val="20"/>
        </w:rPr>
        <w:t xml:space="preserve"> </w:t>
      </w:r>
      <w:r w:rsidR="00E049A8">
        <w:rPr>
          <w:rFonts w:cs="Arial"/>
          <w:szCs w:val="20"/>
        </w:rPr>
        <w:t>doubling of ALT if baseline elevation</w:t>
      </w:r>
      <w:r w:rsidR="00D735EC">
        <w:rPr>
          <w:rFonts w:cs="Arial"/>
          <w:szCs w:val="20"/>
        </w:rPr>
        <w:t xml:space="preserve"> of ALT</w:t>
      </w:r>
      <w:r w:rsidR="00DA34EC">
        <w:rPr>
          <w:rFonts w:cs="Arial"/>
          <w:szCs w:val="20"/>
        </w:rPr>
        <w:t>,</w:t>
      </w:r>
      <w:r w:rsidR="00E049A8">
        <w:rPr>
          <w:rFonts w:cs="Arial"/>
          <w:szCs w:val="20"/>
        </w:rPr>
        <w:t xml:space="preserve"> or </w:t>
      </w:r>
      <w:r w:rsidR="00DA34EC">
        <w:rPr>
          <w:rFonts w:cs="Arial"/>
          <w:szCs w:val="20"/>
        </w:rPr>
        <w:t xml:space="preserve">any </w:t>
      </w:r>
      <w:r w:rsidR="00E049A8">
        <w:rPr>
          <w:rFonts w:cs="Arial"/>
          <w:szCs w:val="20"/>
        </w:rPr>
        <w:t xml:space="preserve">elevation in </w:t>
      </w:r>
      <w:r w:rsidR="003F02BE">
        <w:rPr>
          <w:rFonts w:cs="Arial"/>
          <w:szCs w:val="20"/>
        </w:rPr>
        <w:t xml:space="preserve">total or </w:t>
      </w:r>
      <w:r w:rsidR="00E049A8">
        <w:rPr>
          <w:rFonts w:cs="Arial"/>
          <w:szCs w:val="20"/>
        </w:rPr>
        <w:t>direct bilirubin</w:t>
      </w:r>
      <w:r w:rsidR="003F02BE">
        <w:rPr>
          <w:rFonts w:cs="Arial"/>
          <w:szCs w:val="20"/>
        </w:rPr>
        <w:t>, or INR &gt; 1.4</w:t>
      </w:r>
      <w:r w:rsidR="00E049A8">
        <w:rPr>
          <w:rFonts w:cs="Arial"/>
          <w:szCs w:val="20"/>
        </w:rPr>
        <w:t>)</w:t>
      </w:r>
      <w:r w:rsidRPr="00BF4B45">
        <w:t>:</w:t>
      </w:r>
    </w:p>
    <w:p w14:paraId="016E67DA" w14:textId="77777777" w:rsidR="00E049A8" w:rsidRDefault="00D735EC" w:rsidP="00AB0874">
      <w:pPr>
        <w:pStyle w:val="Heading2"/>
        <w:numPr>
          <w:ilvl w:val="2"/>
          <w:numId w:val="3"/>
        </w:numPr>
        <w:tabs>
          <w:tab w:val="left" w:pos="-720"/>
          <w:tab w:val="left" w:pos="0"/>
        </w:tabs>
        <w:suppressAutoHyphens/>
        <w:spacing w:after="0"/>
        <w:rPr>
          <w:b w:val="0"/>
        </w:rPr>
      </w:pPr>
      <w:r>
        <w:rPr>
          <w:b w:val="0"/>
        </w:rPr>
        <w:t xml:space="preserve">Nursing Station staff or Primary Care Provider would give direction to </w:t>
      </w:r>
      <w:r w:rsidRPr="00D735EC">
        <w:t>s</w:t>
      </w:r>
      <w:r w:rsidR="00DA34EC" w:rsidRPr="00D735EC">
        <w:t xml:space="preserve">top </w:t>
      </w:r>
      <w:r w:rsidR="00C55415">
        <w:t>rifapentine/INH</w:t>
      </w:r>
      <w:r w:rsidRPr="00D735EC">
        <w:t xml:space="preserve"> </w:t>
      </w:r>
      <w:r>
        <w:rPr>
          <w:b w:val="0"/>
        </w:rPr>
        <w:t>and complete the following:</w:t>
      </w:r>
    </w:p>
    <w:p w14:paraId="0392D2E4" w14:textId="77777777" w:rsidR="00AE5DBA" w:rsidRDefault="00DA34EC" w:rsidP="00D735EC">
      <w:pPr>
        <w:pStyle w:val="Heading2"/>
        <w:numPr>
          <w:ilvl w:val="3"/>
          <w:numId w:val="3"/>
        </w:numPr>
        <w:tabs>
          <w:tab w:val="left" w:pos="-720"/>
          <w:tab w:val="left" w:pos="0"/>
        </w:tabs>
        <w:suppressAutoHyphens/>
        <w:spacing w:after="0"/>
        <w:rPr>
          <w:b w:val="0"/>
        </w:rPr>
      </w:pPr>
      <w:r>
        <w:rPr>
          <w:b w:val="0"/>
        </w:rPr>
        <w:t xml:space="preserve">If </w:t>
      </w:r>
      <w:r w:rsidR="00D735EC">
        <w:rPr>
          <w:b w:val="0"/>
        </w:rPr>
        <w:t xml:space="preserve">has </w:t>
      </w:r>
      <w:r w:rsidR="00AE5DBA">
        <w:rPr>
          <w:b w:val="0"/>
        </w:rPr>
        <w:t>s</w:t>
      </w:r>
      <w:r>
        <w:rPr>
          <w:b w:val="0"/>
        </w:rPr>
        <w:t xml:space="preserve">ymptoms of liver injury </w:t>
      </w:r>
      <w:r w:rsidR="003F02BE">
        <w:rPr>
          <w:b w:val="0"/>
        </w:rPr>
        <w:t xml:space="preserve">or </w:t>
      </w:r>
      <w:r w:rsidR="00D735EC">
        <w:rPr>
          <w:b w:val="0"/>
        </w:rPr>
        <w:t xml:space="preserve">other </w:t>
      </w:r>
      <w:r w:rsidR="003F02BE">
        <w:rPr>
          <w:b w:val="0"/>
        </w:rPr>
        <w:t>adverse effect</w:t>
      </w:r>
      <w:r w:rsidR="00D735EC">
        <w:rPr>
          <w:b w:val="0"/>
        </w:rPr>
        <w:t>s</w:t>
      </w:r>
      <w:r w:rsidR="003F02BE">
        <w:rPr>
          <w:b w:val="0"/>
        </w:rPr>
        <w:t xml:space="preserve"> </w:t>
      </w:r>
      <w:r>
        <w:rPr>
          <w:b w:val="0"/>
        </w:rPr>
        <w:t>are present</w:t>
      </w:r>
      <w:r w:rsidR="00D735EC">
        <w:rPr>
          <w:b w:val="0"/>
        </w:rPr>
        <w:t>, an</w:t>
      </w:r>
      <w:r w:rsidR="00A64D68">
        <w:rPr>
          <w:b w:val="0"/>
        </w:rPr>
        <w:t xml:space="preserve"> </w:t>
      </w:r>
      <w:r w:rsidR="00AE5DBA">
        <w:rPr>
          <w:b w:val="0"/>
        </w:rPr>
        <w:t>urgent clinical evaluation</w:t>
      </w:r>
      <w:r w:rsidR="00A64D68">
        <w:rPr>
          <w:b w:val="0"/>
        </w:rPr>
        <w:t xml:space="preserve"> is </w:t>
      </w:r>
      <w:r w:rsidR="00D735EC">
        <w:rPr>
          <w:b w:val="0"/>
        </w:rPr>
        <w:t>warranted</w:t>
      </w:r>
      <w:r w:rsidR="00AE5DBA">
        <w:rPr>
          <w:b w:val="0"/>
        </w:rPr>
        <w:t xml:space="preserve">.  If </w:t>
      </w:r>
      <w:r w:rsidR="00D735EC">
        <w:rPr>
          <w:b w:val="0"/>
        </w:rPr>
        <w:t>clinically</w:t>
      </w:r>
      <w:r>
        <w:rPr>
          <w:b w:val="0"/>
        </w:rPr>
        <w:t xml:space="preserve"> unwell </w:t>
      </w:r>
      <w:r w:rsidR="00D735EC">
        <w:rPr>
          <w:b w:val="0"/>
        </w:rPr>
        <w:t xml:space="preserve">with multiple symptoms </w:t>
      </w:r>
      <w:r>
        <w:rPr>
          <w:b w:val="0"/>
        </w:rPr>
        <w:t xml:space="preserve">or </w:t>
      </w:r>
      <w:r w:rsidR="00D735EC">
        <w:rPr>
          <w:b w:val="0"/>
        </w:rPr>
        <w:t xml:space="preserve">if </w:t>
      </w:r>
      <w:r>
        <w:rPr>
          <w:b w:val="0"/>
        </w:rPr>
        <w:t>jaundiced</w:t>
      </w:r>
      <w:r w:rsidR="00D735EC">
        <w:rPr>
          <w:b w:val="0"/>
        </w:rPr>
        <w:t>, notify Primary Care Provider immediately and</w:t>
      </w:r>
      <w:r w:rsidR="00AE5DBA">
        <w:rPr>
          <w:b w:val="0"/>
        </w:rPr>
        <w:t xml:space="preserve"> consider hospitalization to expe</w:t>
      </w:r>
      <w:r w:rsidR="00A64D68">
        <w:rPr>
          <w:b w:val="0"/>
        </w:rPr>
        <w:t>dite further evaluation.</w:t>
      </w:r>
    </w:p>
    <w:p w14:paraId="32B12D40" w14:textId="77777777" w:rsidR="00AE5DBA" w:rsidRPr="00B501E7" w:rsidRDefault="00A64D68" w:rsidP="00D735EC">
      <w:pPr>
        <w:pStyle w:val="Heading2"/>
        <w:numPr>
          <w:ilvl w:val="3"/>
          <w:numId w:val="3"/>
        </w:numPr>
        <w:tabs>
          <w:tab w:val="left" w:pos="-720"/>
          <w:tab w:val="left" w:pos="0"/>
        </w:tabs>
        <w:suppressAutoHyphens/>
        <w:spacing w:after="0"/>
        <w:rPr>
          <w:b w:val="0"/>
        </w:rPr>
      </w:pPr>
      <w:r>
        <w:rPr>
          <w:b w:val="0"/>
        </w:rPr>
        <w:t xml:space="preserve">If </w:t>
      </w:r>
      <w:r w:rsidR="00D735EC">
        <w:rPr>
          <w:b w:val="0"/>
        </w:rPr>
        <w:t>no</w:t>
      </w:r>
      <w:r w:rsidR="00DA34EC">
        <w:rPr>
          <w:b w:val="0"/>
        </w:rPr>
        <w:t xml:space="preserve"> </w:t>
      </w:r>
      <w:r>
        <w:rPr>
          <w:b w:val="0"/>
        </w:rPr>
        <w:t>symptom</w:t>
      </w:r>
      <w:r w:rsidR="00D735EC">
        <w:rPr>
          <w:b w:val="0"/>
        </w:rPr>
        <w:t>s</w:t>
      </w:r>
      <w:r>
        <w:rPr>
          <w:b w:val="0"/>
        </w:rPr>
        <w:t xml:space="preserve">, </w:t>
      </w:r>
      <w:r w:rsidR="00C55415">
        <w:rPr>
          <w:b w:val="0"/>
        </w:rPr>
        <w:t xml:space="preserve">check liver enzymes, </w:t>
      </w:r>
      <w:r>
        <w:rPr>
          <w:b w:val="0"/>
        </w:rPr>
        <w:t xml:space="preserve">CBC, </w:t>
      </w:r>
      <w:r w:rsidR="00AE5DBA">
        <w:rPr>
          <w:b w:val="0"/>
        </w:rPr>
        <w:t>INR, and albumin as soon as possible.</w:t>
      </w:r>
    </w:p>
    <w:p w14:paraId="5221CCF8" w14:textId="77777777" w:rsidR="00AE5DBA" w:rsidRDefault="00DA34EC" w:rsidP="00D735EC">
      <w:pPr>
        <w:pStyle w:val="Heading2"/>
        <w:numPr>
          <w:ilvl w:val="3"/>
          <w:numId w:val="3"/>
        </w:numPr>
        <w:tabs>
          <w:tab w:val="left" w:pos="-720"/>
          <w:tab w:val="left" w:pos="0"/>
        </w:tabs>
        <w:suppressAutoHyphens/>
        <w:spacing w:after="0"/>
        <w:rPr>
          <w:b w:val="0"/>
        </w:rPr>
      </w:pPr>
      <w:r>
        <w:rPr>
          <w:b w:val="0"/>
        </w:rPr>
        <w:t xml:space="preserve">If </w:t>
      </w:r>
      <w:r w:rsidR="00FF58AA">
        <w:rPr>
          <w:b w:val="0"/>
        </w:rPr>
        <w:t>no</w:t>
      </w:r>
      <w:r>
        <w:rPr>
          <w:b w:val="0"/>
        </w:rPr>
        <w:t xml:space="preserve"> symptom</w:t>
      </w:r>
      <w:r w:rsidR="00FF58AA">
        <w:rPr>
          <w:b w:val="0"/>
        </w:rPr>
        <w:t>s</w:t>
      </w:r>
      <w:r w:rsidR="00AE5DBA">
        <w:rPr>
          <w:b w:val="0"/>
        </w:rPr>
        <w:t xml:space="preserve">, but </w:t>
      </w:r>
      <w:r w:rsidR="00A64D68">
        <w:rPr>
          <w:b w:val="0"/>
        </w:rPr>
        <w:t>eithe</w:t>
      </w:r>
      <w:r w:rsidR="00E67C45">
        <w:rPr>
          <w:b w:val="0"/>
        </w:rPr>
        <w:t>r</w:t>
      </w:r>
      <w:r w:rsidR="00A64D68">
        <w:rPr>
          <w:b w:val="0"/>
        </w:rPr>
        <w:t xml:space="preserve"> bilirubin or INR is</w:t>
      </w:r>
      <w:r w:rsidR="00AE5DBA">
        <w:rPr>
          <w:b w:val="0"/>
        </w:rPr>
        <w:t xml:space="preserve"> elevated, </w:t>
      </w:r>
      <w:r w:rsidR="00FF58AA">
        <w:rPr>
          <w:b w:val="0"/>
        </w:rPr>
        <w:t xml:space="preserve">notify Primary Care Provider and </w:t>
      </w:r>
      <w:r w:rsidR="00AE5DBA">
        <w:rPr>
          <w:b w:val="0"/>
        </w:rPr>
        <w:t xml:space="preserve">consider hospitalization to expedite further evaluation including hepatic ultrasound (to exclude other causes of liver toxicity – see </w:t>
      </w:r>
      <w:r w:rsidR="00C55415">
        <w:rPr>
          <w:b w:val="0"/>
        </w:rPr>
        <w:t>8</w:t>
      </w:r>
      <w:r w:rsidR="00AE5DBA">
        <w:rPr>
          <w:b w:val="0"/>
        </w:rPr>
        <w:t>.4.</w:t>
      </w:r>
      <w:r w:rsidR="00FF58AA">
        <w:rPr>
          <w:b w:val="0"/>
        </w:rPr>
        <w:t>1.4</w:t>
      </w:r>
      <w:r w:rsidR="00AE5DBA">
        <w:rPr>
          <w:b w:val="0"/>
        </w:rPr>
        <w:t>).</w:t>
      </w:r>
    </w:p>
    <w:p w14:paraId="75C1230A" w14:textId="77777777" w:rsidR="00AE5DBA" w:rsidRDefault="00AE5DBA" w:rsidP="00FF58AA">
      <w:pPr>
        <w:pStyle w:val="Heading2"/>
        <w:numPr>
          <w:ilvl w:val="3"/>
          <w:numId w:val="3"/>
        </w:numPr>
        <w:tabs>
          <w:tab w:val="left" w:pos="-720"/>
          <w:tab w:val="left" w:pos="0"/>
        </w:tabs>
        <w:suppressAutoHyphens/>
        <w:spacing w:after="0"/>
        <w:rPr>
          <w:b w:val="0"/>
        </w:rPr>
      </w:pPr>
      <w:r>
        <w:rPr>
          <w:b w:val="0"/>
        </w:rPr>
        <w:t>Conside</w:t>
      </w:r>
      <w:r w:rsidR="006A239C">
        <w:rPr>
          <w:b w:val="0"/>
        </w:rPr>
        <w:t>r other causes of liver injury</w:t>
      </w:r>
      <w:r>
        <w:rPr>
          <w:b w:val="0"/>
        </w:rPr>
        <w:t xml:space="preserve"> including acute viral hepatitis (H</w:t>
      </w:r>
      <w:r w:rsidR="006A239C">
        <w:rPr>
          <w:b w:val="0"/>
        </w:rPr>
        <w:t>AV, HBV, HCV), toxic insult</w:t>
      </w:r>
      <w:r>
        <w:rPr>
          <w:b w:val="0"/>
        </w:rPr>
        <w:t xml:space="preserve"> (</w:t>
      </w:r>
      <w:r w:rsidR="006A239C">
        <w:rPr>
          <w:b w:val="0"/>
        </w:rPr>
        <w:t xml:space="preserve">e.g. </w:t>
      </w:r>
      <w:r>
        <w:rPr>
          <w:b w:val="0"/>
        </w:rPr>
        <w:t>acetaminophen</w:t>
      </w:r>
      <w:r w:rsidR="006A239C">
        <w:rPr>
          <w:b w:val="0"/>
        </w:rPr>
        <w:t>, alcohol</w:t>
      </w:r>
      <w:r>
        <w:rPr>
          <w:b w:val="0"/>
        </w:rPr>
        <w:t xml:space="preserve">), </w:t>
      </w:r>
      <w:r w:rsidR="006A239C">
        <w:rPr>
          <w:b w:val="0"/>
        </w:rPr>
        <w:t xml:space="preserve">ischemic insult (thrombosis), or </w:t>
      </w:r>
      <w:r w:rsidR="00FF58AA">
        <w:rPr>
          <w:b w:val="0"/>
        </w:rPr>
        <w:t>obstructive jaundice (</w:t>
      </w:r>
      <w:r w:rsidR="006A239C">
        <w:rPr>
          <w:b w:val="0"/>
        </w:rPr>
        <w:t>gallstones</w:t>
      </w:r>
      <w:r w:rsidR="00FF58AA">
        <w:rPr>
          <w:b w:val="0"/>
        </w:rPr>
        <w:t>)</w:t>
      </w:r>
      <w:r w:rsidR="006A239C">
        <w:rPr>
          <w:b w:val="0"/>
        </w:rPr>
        <w:t>.</w:t>
      </w:r>
    </w:p>
    <w:p w14:paraId="0D6A302C" w14:textId="77777777" w:rsidR="00E049A8" w:rsidRPr="00D004BE" w:rsidRDefault="006A239C" w:rsidP="00FF58AA">
      <w:pPr>
        <w:pStyle w:val="Heading2"/>
        <w:numPr>
          <w:ilvl w:val="3"/>
          <w:numId w:val="3"/>
        </w:numPr>
        <w:tabs>
          <w:tab w:val="left" w:pos="-720"/>
          <w:tab w:val="left" w:pos="0"/>
        </w:tabs>
        <w:suppressAutoHyphens/>
        <w:spacing w:after="0"/>
        <w:rPr>
          <w:b w:val="0"/>
        </w:rPr>
      </w:pPr>
      <w:r>
        <w:rPr>
          <w:b w:val="0"/>
        </w:rPr>
        <w:t xml:space="preserve">If </w:t>
      </w:r>
      <w:r w:rsidR="00FF58AA">
        <w:rPr>
          <w:b w:val="0"/>
        </w:rPr>
        <w:t>no</w:t>
      </w:r>
      <w:r>
        <w:rPr>
          <w:b w:val="0"/>
        </w:rPr>
        <w:t xml:space="preserve"> symptom</w:t>
      </w:r>
      <w:r w:rsidR="00FF58AA">
        <w:rPr>
          <w:b w:val="0"/>
        </w:rPr>
        <w:t>s</w:t>
      </w:r>
      <w:r>
        <w:rPr>
          <w:b w:val="0"/>
        </w:rPr>
        <w:t xml:space="preserve">, </w:t>
      </w:r>
      <w:r w:rsidR="00D004BE" w:rsidRPr="00D004BE">
        <w:rPr>
          <w:b w:val="0"/>
        </w:rPr>
        <w:t>and direct bilirubin and INR are normal, f</w:t>
      </w:r>
      <w:r w:rsidR="00E049A8" w:rsidRPr="00D004BE">
        <w:rPr>
          <w:b w:val="0"/>
        </w:rPr>
        <w:t>ollow liver enzymes every 5 to 7 days</w:t>
      </w:r>
      <w:r w:rsidR="00A64D68">
        <w:rPr>
          <w:b w:val="0"/>
        </w:rPr>
        <w:t xml:space="preserve"> until </w:t>
      </w:r>
      <w:r w:rsidR="00FF58AA">
        <w:rPr>
          <w:b w:val="0"/>
        </w:rPr>
        <w:t>results return to normal</w:t>
      </w:r>
      <w:r w:rsidR="00D004BE" w:rsidRPr="00D004BE">
        <w:rPr>
          <w:b w:val="0"/>
        </w:rPr>
        <w:t xml:space="preserve"> (which may take a few weeks)</w:t>
      </w:r>
      <w:r w:rsidR="00E049A8" w:rsidRPr="00D004BE">
        <w:rPr>
          <w:b w:val="0"/>
        </w:rPr>
        <w:t>.</w:t>
      </w:r>
    </w:p>
    <w:p w14:paraId="3DC6AD13" w14:textId="0E9562D3" w:rsidR="00FF58AA" w:rsidRPr="00FF58AA" w:rsidRDefault="00FF58AA" w:rsidP="00AB0874">
      <w:pPr>
        <w:pStyle w:val="Heading2"/>
        <w:numPr>
          <w:ilvl w:val="2"/>
          <w:numId w:val="3"/>
        </w:numPr>
        <w:tabs>
          <w:tab w:val="left" w:pos="-720"/>
          <w:tab w:val="left" w:pos="0"/>
        </w:tabs>
        <w:suppressAutoHyphens/>
        <w:spacing w:after="0"/>
        <w:rPr>
          <w:b w:val="0"/>
        </w:rPr>
      </w:pPr>
      <w:r w:rsidRPr="00FF58AA">
        <w:rPr>
          <w:b w:val="0"/>
        </w:rPr>
        <w:t xml:space="preserve">When ALT &lt;2 times ULN, Primary Care Provider may restart </w:t>
      </w:r>
      <w:r w:rsidR="00C55415">
        <w:rPr>
          <w:b w:val="0"/>
        </w:rPr>
        <w:t>r</w:t>
      </w:r>
      <w:r>
        <w:rPr>
          <w:b w:val="0"/>
        </w:rPr>
        <w:t>ifa</w:t>
      </w:r>
      <w:r w:rsidR="00C55415">
        <w:rPr>
          <w:b w:val="0"/>
        </w:rPr>
        <w:t>pentine/INH</w:t>
      </w:r>
      <w:r>
        <w:rPr>
          <w:b w:val="0"/>
        </w:rPr>
        <w:t xml:space="preserve"> </w:t>
      </w:r>
      <w:r w:rsidRPr="00FF58AA">
        <w:rPr>
          <w:b w:val="0"/>
        </w:rPr>
        <w:t xml:space="preserve">and repeat </w:t>
      </w:r>
      <w:r w:rsidR="00C55415">
        <w:rPr>
          <w:b w:val="0"/>
        </w:rPr>
        <w:t>liver enzymes</w:t>
      </w:r>
      <w:r w:rsidRPr="00FF58AA">
        <w:rPr>
          <w:b w:val="0"/>
        </w:rPr>
        <w:t xml:space="preserve"> on day 3 and day 7 of re-challenge to make sure that ALT is not rising again.  If ALT rises again, and more than </w:t>
      </w:r>
      <w:r>
        <w:rPr>
          <w:b w:val="0"/>
        </w:rPr>
        <w:t>3</w:t>
      </w:r>
      <w:r w:rsidRPr="00FF58AA">
        <w:rPr>
          <w:b w:val="0"/>
        </w:rPr>
        <w:t xml:space="preserve"> </w:t>
      </w:r>
      <w:r w:rsidR="00C55415">
        <w:rPr>
          <w:b w:val="0"/>
        </w:rPr>
        <w:t xml:space="preserve">weekly doses </w:t>
      </w:r>
      <w:r w:rsidRPr="00FF58AA">
        <w:rPr>
          <w:b w:val="0"/>
        </w:rPr>
        <w:t xml:space="preserve">of </w:t>
      </w:r>
      <w:r w:rsidR="00C55415">
        <w:rPr>
          <w:b w:val="0"/>
        </w:rPr>
        <w:t>r</w:t>
      </w:r>
      <w:r>
        <w:rPr>
          <w:b w:val="0"/>
        </w:rPr>
        <w:t>ifa</w:t>
      </w:r>
      <w:r w:rsidR="00C55415">
        <w:rPr>
          <w:b w:val="0"/>
        </w:rPr>
        <w:t xml:space="preserve">pentine/INH </w:t>
      </w:r>
      <w:r w:rsidRPr="00FF58AA">
        <w:rPr>
          <w:b w:val="0"/>
        </w:rPr>
        <w:t xml:space="preserve">is needed to complete LTBI therapy, then </w:t>
      </w:r>
      <w:r w:rsidR="00C55415">
        <w:rPr>
          <w:b w:val="0"/>
        </w:rPr>
        <w:t xml:space="preserve">consideration </w:t>
      </w:r>
      <w:r>
        <w:rPr>
          <w:b w:val="0"/>
        </w:rPr>
        <w:t>may</w:t>
      </w:r>
      <w:r w:rsidRPr="00FF58AA">
        <w:rPr>
          <w:b w:val="0"/>
        </w:rPr>
        <w:t xml:space="preserve"> be </w:t>
      </w:r>
      <w:r w:rsidR="00C55415">
        <w:rPr>
          <w:b w:val="0"/>
        </w:rPr>
        <w:lastRenderedPageBreak/>
        <w:t xml:space="preserve">given to switching to </w:t>
      </w:r>
      <w:r>
        <w:rPr>
          <w:b w:val="0"/>
        </w:rPr>
        <w:t>moxifloxacin</w:t>
      </w:r>
      <w:r w:rsidR="00283BB0">
        <w:rPr>
          <w:b w:val="0"/>
        </w:rPr>
        <w:t xml:space="preserve"> or </w:t>
      </w:r>
      <w:r>
        <w:rPr>
          <w:b w:val="0"/>
        </w:rPr>
        <w:t>levofloxacin as alternative treatment for LTBI.</w:t>
      </w:r>
    </w:p>
    <w:p w14:paraId="299BDC62" w14:textId="478E5F91" w:rsidR="00EE278C" w:rsidRPr="00EE278C" w:rsidRDefault="00A64D68" w:rsidP="00EE278C">
      <w:pPr>
        <w:pStyle w:val="Heading2"/>
        <w:numPr>
          <w:ilvl w:val="2"/>
          <w:numId w:val="3"/>
        </w:numPr>
        <w:tabs>
          <w:tab w:val="left" w:pos="-720"/>
          <w:tab w:val="left" w:pos="0"/>
        </w:tabs>
        <w:suppressAutoHyphens/>
        <w:spacing w:after="0"/>
        <w:rPr>
          <w:b w:val="0"/>
        </w:rPr>
      </w:pPr>
      <w:r>
        <w:rPr>
          <w:b w:val="0"/>
        </w:rPr>
        <w:t xml:space="preserve">If </w:t>
      </w:r>
      <w:r w:rsidR="00C04467">
        <w:rPr>
          <w:b w:val="0"/>
        </w:rPr>
        <w:t xml:space="preserve">any </w:t>
      </w:r>
      <w:r>
        <w:rPr>
          <w:b w:val="0"/>
        </w:rPr>
        <w:t xml:space="preserve">liver </w:t>
      </w:r>
      <w:r w:rsidR="00FF58AA">
        <w:rPr>
          <w:b w:val="0"/>
        </w:rPr>
        <w:t>enzymes</w:t>
      </w:r>
      <w:r>
        <w:rPr>
          <w:b w:val="0"/>
        </w:rPr>
        <w:t xml:space="preserve"> rise</w:t>
      </w:r>
      <w:r w:rsidR="00D004BE" w:rsidRPr="00D004BE">
        <w:rPr>
          <w:b w:val="0"/>
        </w:rPr>
        <w:t xml:space="preserve"> further or fail to normalize</w:t>
      </w:r>
      <w:r w:rsidR="007A4B87">
        <w:rPr>
          <w:b w:val="0"/>
        </w:rPr>
        <w:t xml:space="preserve"> over time</w:t>
      </w:r>
      <w:r w:rsidR="00D004BE" w:rsidRPr="00D004BE">
        <w:rPr>
          <w:b w:val="0"/>
        </w:rPr>
        <w:t xml:space="preserve">, </w:t>
      </w:r>
      <w:r w:rsidR="00FF58AA">
        <w:rPr>
          <w:b w:val="0"/>
        </w:rPr>
        <w:t xml:space="preserve">Primary Care Provider should </w:t>
      </w:r>
      <w:r w:rsidR="00D004BE" w:rsidRPr="00D004BE">
        <w:rPr>
          <w:b w:val="0"/>
        </w:rPr>
        <w:t xml:space="preserve">consider consultation with </w:t>
      </w:r>
      <w:r>
        <w:rPr>
          <w:b w:val="0"/>
        </w:rPr>
        <w:t xml:space="preserve">a </w:t>
      </w:r>
      <w:r w:rsidR="006A239C">
        <w:rPr>
          <w:b w:val="0"/>
        </w:rPr>
        <w:t>Hepatologist.</w:t>
      </w:r>
    </w:p>
    <w:p w14:paraId="19CFADAC" w14:textId="6D04B90D" w:rsidR="007A4B87" w:rsidRPr="00EE278C" w:rsidRDefault="007A4B87" w:rsidP="007A4B87">
      <w:pPr>
        <w:numPr>
          <w:ilvl w:val="1"/>
          <w:numId w:val="3"/>
        </w:numPr>
        <w:tabs>
          <w:tab w:val="left" w:pos="-720"/>
          <w:tab w:val="left" w:pos="0"/>
        </w:tabs>
        <w:suppressAutoHyphens/>
      </w:pPr>
      <w:r>
        <w:rPr>
          <w:b/>
        </w:rPr>
        <w:t>Thrombocytopenia (p</w:t>
      </w:r>
      <w:r w:rsidRPr="005A69BF">
        <w:rPr>
          <w:b/>
        </w:rPr>
        <w:t>latelets</w:t>
      </w:r>
      <w:r>
        <w:rPr>
          <w:b/>
        </w:rPr>
        <w:t xml:space="preserve"> between 80 and 150 X10</w:t>
      </w:r>
      <w:r w:rsidRPr="00EE278C">
        <w:rPr>
          <w:b/>
          <w:vertAlign w:val="superscript"/>
        </w:rPr>
        <w:t>9</w:t>
      </w:r>
      <w:r>
        <w:rPr>
          <w:b/>
        </w:rPr>
        <w:t>/L):</w:t>
      </w:r>
    </w:p>
    <w:p w14:paraId="57CCBA55" w14:textId="04D4C9BF" w:rsidR="007A4B87" w:rsidRPr="007A4B87" w:rsidRDefault="007A4B87" w:rsidP="007A4B87">
      <w:pPr>
        <w:pStyle w:val="Heading2"/>
        <w:numPr>
          <w:ilvl w:val="2"/>
          <w:numId w:val="3"/>
        </w:numPr>
        <w:tabs>
          <w:tab w:val="left" w:pos="-720"/>
          <w:tab w:val="left" w:pos="0"/>
        </w:tabs>
        <w:suppressAutoHyphens/>
        <w:spacing w:after="0"/>
        <w:rPr>
          <w:b w:val="0"/>
        </w:rPr>
      </w:pPr>
      <w:r>
        <w:rPr>
          <w:b w:val="0"/>
        </w:rPr>
        <w:t>Continue rifapentine/INH.</w:t>
      </w:r>
    </w:p>
    <w:p w14:paraId="64152B1D" w14:textId="0E9A924E" w:rsidR="007A4B87" w:rsidRPr="00EE278C" w:rsidRDefault="007A4B87" w:rsidP="007A4B87">
      <w:pPr>
        <w:numPr>
          <w:ilvl w:val="2"/>
          <w:numId w:val="3"/>
        </w:numPr>
        <w:tabs>
          <w:tab w:val="left" w:pos="-720"/>
          <w:tab w:val="left" w:pos="0"/>
        </w:tabs>
        <w:suppressAutoHyphens/>
      </w:pPr>
      <w:r>
        <w:rPr>
          <w:bCs/>
        </w:rPr>
        <w:t>R</w:t>
      </w:r>
      <w:r w:rsidRPr="006871ED">
        <w:rPr>
          <w:bCs/>
        </w:rPr>
        <w:t xml:space="preserve">epeat CBC and </w:t>
      </w:r>
      <w:r>
        <w:rPr>
          <w:bCs/>
        </w:rPr>
        <w:t xml:space="preserve">also </w:t>
      </w:r>
      <w:r w:rsidRPr="006871ED">
        <w:rPr>
          <w:bCs/>
        </w:rPr>
        <w:t xml:space="preserve">obtain </w:t>
      </w:r>
      <w:r>
        <w:rPr>
          <w:bCs/>
        </w:rPr>
        <w:t>peripheral blood smear, total and direct bilirubin</w:t>
      </w:r>
      <w:r w:rsidRPr="006871ED">
        <w:rPr>
          <w:bCs/>
        </w:rPr>
        <w:t xml:space="preserve">, INR, </w:t>
      </w:r>
      <w:r>
        <w:rPr>
          <w:bCs/>
        </w:rPr>
        <w:t>urea, creatinine, and urinalysis.</w:t>
      </w:r>
    </w:p>
    <w:p w14:paraId="601780B9" w14:textId="1CFDFE08" w:rsidR="007A4B87" w:rsidRDefault="007A4B87" w:rsidP="007A4B87">
      <w:pPr>
        <w:pStyle w:val="Heading2"/>
        <w:numPr>
          <w:ilvl w:val="2"/>
          <w:numId w:val="3"/>
        </w:numPr>
        <w:tabs>
          <w:tab w:val="left" w:pos="-720"/>
          <w:tab w:val="left" w:pos="0"/>
        </w:tabs>
        <w:suppressAutoHyphens/>
        <w:spacing w:after="0"/>
      </w:pPr>
      <w:r>
        <w:rPr>
          <w:b w:val="0"/>
        </w:rPr>
        <w:t xml:space="preserve">Repeat CBC in 48-72 hours.  </w:t>
      </w:r>
      <w:r w:rsidRPr="006871ED">
        <w:rPr>
          <w:b w:val="0"/>
        </w:rPr>
        <w:t>If</w:t>
      </w:r>
      <w:r>
        <w:rPr>
          <w:b w:val="0"/>
        </w:rPr>
        <w:t xml:space="preserve"> platelets decrease to below 80 X10</w:t>
      </w:r>
      <w:r w:rsidRPr="007A4B87">
        <w:rPr>
          <w:b w:val="0"/>
          <w:vertAlign w:val="superscript"/>
        </w:rPr>
        <w:t>9</w:t>
      </w:r>
      <w:r>
        <w:rPr>
          <w:b w:val="0"/>
        </w:rPr>
        <w:t>/L, go to 8.6.</w:t>
      </w:r>
    </w:p>
    <w:p w14:paraId="2BBC99AD" w14:textId="00B2246F" w:rsidR="00EE278C" w:rsidRPr="00EE278C" w:rsidRDefault="00EE278C" w:rsidP="007A4B87">
      <w:pPr>
        <w:numPr>
          <w:ilvl w:val="1"/>
          <w:numId w:val="3"/>
        </w:numPr>
        <w:tabs>
          <w:tab w:val="left" w:pos="-720"/>
          <w:tab w:val="left" w:pos="0"/>
        </w:tabs>
        <w:suppressAutoHyphens/>
      </w:pPr>
      <w:r>
        <w:rPr>
          <w:b/>
        </w:rPr>
        <w:t>Thrombocytopenia (p</w:t>
      </w:r>
      <w:r w:rsidRPr="005A69BF">
        <w:rPr>
          <w:b/>
        </w:rPr>
        <w:t>latelets</w:t>
      </w:r>
      <w:r>
        <w:t xml:space="preserve"> </w:t>
      </w:r>
      <w:r>
        <w:rPr>
          <w:b/>
        </w:rPr>
        <w:t>less than 80 X10</w:t>
      </w:r>
      <w:r w:rsidRPr="00EE278C">
        <w:rPr>
          <w:b/>
          <w:vertAlign w:val="superscript"/>
        </w:rPr>
        <w:t>9</w:t>
      </w:r>
      <w:r>
        <w:rPr>
          <w:b/>
        </w:rPr>
        <w:t>/L):</w:t>
      </w:r>
    </w:p>
    <w:p w14:paraId="63081D8D" w14:textId="0DCC1526" w:rsidR="00EE278C" w:rsidRDefault="00EE278C" w:rsidP="00EE278C">
      <w:pPr>
        <w:numPr>
          <w:ilvl w:val="2"/>
          <w:numId w:val="3"/>
        </w:numPr>
        <w:tabs>
          <w:tab w:val="left" w:pos="-720"/>
          <w:tab w:val="left" w:pos="0"/>
        </w:tabs>
        <w:suppressAutoHyphens/>
      </w:pPr>
      <w:r w:rsidRPr="00EE278C">
        <w:t xml:space="preserve">Nursing Station staff or Primary Care Provider would give direction </w:t>
      </w:r>
      <w:r w:rsidRPr="00283BB0">
        <w:rPr>
          <w:b/>
        </w:rPr>
        <w:t>to stop the rifapentine/INH</w:t>
      </w:r>
      <w:r w:rsidRPr="00D735EC">
        <w:t xml:space="preserve"> </w:t>
      </w:r>
      <w:r w:rsidRPr="00EE278C">
        <w:t>and complete the following:</w:t>
      </w:r>
    </w:p>
    <w:p w14:paraId="737D3C9D" w14:textId="358E9FFE" w:rsidR="00EE278C" w:rsidRDefault="00EE278C" w:rsidP="00EE278C">
      <w:pPr>
        <w:numPr>
          <w:ilvl w:val="3"/>
          <w:numId w:val="3"/>
        </w:numPr>
        <w:tabs>
          <w:tab w:val="left" w:pos="-720"/>
          <w:tab w:val="left" w:pos="0"/>
        </w:tabs>
        <w:suppressAutoHyphens/>
      </w:pPr>
      <w:r>
        <w:t>If has any symptoms of rifapentine-induced thrombocytopenia (purpura at any site, ecchymosis not attributable to trauma, mucosal bleeding from any site including but not limited to epistaxis, gum bleeding, hemoptysis, hematuria, hematemesis, or menorrhagia) an urgent clinical evaluation is warranted.  Notify Primary Care Provider immediately and consider hospitalization to expedite further evaluation.</w:t>
      </w:r>
    </w:p>
    <w:p w14:paraId="4949191D" w14:textId="77777777" w:rsidR="00F22FEF" w:rsidRPr="006871ED" w:rsidRDefault="00FB11D5" w:rsidP="00AC2A0B">
      <w:pPr>
        <w:pStyle w:val="Heading2"/>
        <w:numPr>
          <w:ilvl w:val="3"/>
          <w:numId w:val="3"/>
        </w:numPr>
        <w:tabs>
          <w:tab w:val="left" w:pos="-720"/>
          <w:tab w:val="left" w:pos="0"/>
        </w:tabs>
        <w:suppressAutoHyphens/>
        <w:spacing w:after="0"/>
        <w:rPr>
          <w:b w:val="0"/>
        </w:rPr>
      </w:pPr>
      <w:r>
        <w:rPr>
          <w:b w:val="0"/>
        </w:rPr>
        <w:t>Repeat CBC in 48</w:t>
      </w:r>
      <w:r w:rsidR="00A06AFE">
        <w:rPr>
          <w:b w:val="0"/>
        </w:rPr>
        <w:t>-72</w:t>
      </w:r>
      <w:r>
        <w:rPr>
          <w:b w:val="0"/>
        </w:rPr>
        <w:t xml:space="preserve"> hours. </w:t>
      </w:r>
      <w:r w:rsidR="00C1185F">
        <w:rPr>
          <w:b w:val="0"/>
        </w:rPr>
        <w:t xml:space="preserve"> </w:t>
      </w:r>
      <w:r w:rsidR="00F22FEF" w:rsidRPr="006871ED">
        <w:rPr>
          <w:b w:val="0"/>
        </w:rPr>
        <w:t>If</w:t>
      </w:r>
      <w:r w:rsidR="00F22FEF">
        <w:rPr>
          <w:b w:val="0"/>
        </w:rPr>
        <w:t xml:space="preserve"> platelets decrease </w:t>
      </w:r>
      <w:r w:rsidR="00A06AFE">
        <w:rPr>
          <w:b w:val="0"/>
        </w:rPr>
        <w:t xml:space="preserve">further </w:t>
      </w:r>
      <w:r w:rsidR="00F22FEF" w:rsidRPr="006871ED">
        <w:rPr>
          <w:b w:val="0"/>
        </w:rPr>
        <w:t xml:space="preserve">or fail to </w:t>
      </w:r>
      <w:r w:rsidR="00C1185F">
        <w:rPr>
          <w:b w:val="0"/>
        </w:rPr>
        <w:t xml:space="preserve">return to </w:t>
      </w:r>
      <w:r w:rsidR="00F22FEF" w:rsidRPr="006871ED">
        <w:rPr>
          <w:b w:val="0"/>
        </w:rPr>
        <w:t xml:space="preserve">normal, </w:t>
      </w:r>
      <w:r w:rsidR="00C1185F">
        <w:rPr>
          <w:b w:val="0"/>
        </w:rPr>
        <w:t xml:space="preserve">Primary Care Provider should </w:t>
      </w:r>
      <w:r w:rsidR="00F22FEF" w:rsidRPr="006871ED">
        <w:rPr>
          <w:b w:val="0"/>
        </w:rPr>
        <w:t>consider</w:t>
      </w:r>
      <w:r>
        <w:rPr>
          <w:b w:val="0"/>
        </w:rPr>
        <w:t xml:space="preserve"> </w:t>
      </w:r>
      <w:r w:rsidR="00C1185F">
        <w:rPr>
          <w:b w:val="0"/>
        </w:rPr>
        <w:t xml:space="preserve">an urgent </w:t>
      </w:r>
      <w:r>
        <w:rPr>
          <w:b w:val="0"/>
        </w:rPr>
        <w:t>consultation with a Hematologist.</w:t>
      </w:r>
    </w:p>
    <w:p w14:paraId="6BA62B69" w14:textId="77777777" w:rsidR="007A4B87" w:rsidRPr="007A4B87" w:rsidRDefault="00AC2A0B" w:rsidP="00C1185F">
      <w:pPr>
        <w:numPr>
          <w:ilvl w:val="3"/>
          <w:numId w:val="3"/>
        </w:numPr>
      </w:pPr>
      <w:r>
        <w:rPr>
          <w:bCs/>
        </w:rPr>
        <w:t>C</w:t>
      </w:r>
      <w:r w:rsidR="00FB11D5">
        <w:rPr>
          <w:bCs/>
        </w:rPr>
        <w:t>ontinue to check CBC every 5 days</w:t>
      </w:r>
      <w:r w:rsidR="00F22FEF" w:rsidRPr="006871ED">
        <w:rPr>
          <w:bCs/>
        </w:rPr>
        <w:t xml:space="preserve"> until </w:t>
      </w:r>
      <w:r w:rsidR="00FB11D5">
        <w:rPr>
          <w:bCs/>
        </w:rPr>
        <w:t>platelets are greater than 150</w:t>
      </w:r>
      <w:r w:rsidR="00C1185F">
        <w:rPr>
          <w:bCs/>
        </w:rPr>
        <w:t xml:space="preserve"> X10</w:t>
      </w:r>
      <w:r w:rsidR="00C1185F" w:rsidRPr="00C1185F">
        <w:rPr>
          <w:bCs/>
          <w:vertAlign w:val="superscript"/>
        </w:rPr>
        <w:t>9</w:t>
      </w:r>
      <w:r w:rsidR="00C1185F">
        <w:rPr>
          <w:bCs/>
        </w:rPr>
        <w:t>/L</w:t>
      </w:r>
      <w:r w:rsidR="00754885">
        <w:rPr>
          <w:bCs/>
        </w:rPr>
        <w:t>.</w:t>
      </w:r>
    </w:p>
    <w:p w14:paraId="145546DA" w14:textId="3F9682C1" w:rsidR="00FA4EAA" w:rsidRPr="00FA4EAA" w:rsidRDefault="00E32721" w:rsidP="00C1185F">
      <w:pPr>
        <w:numPr>
          <w:ilvl w:val="3"/>
          <w:numId w:val="3"/>
        </w:numPr>
      </w:pPr>
      <w:r w:rsidRPr="00283BB0">
        <w:rPr>
          <w:b/>
          <w:bCs/>
        </w:rPr>
        <w:t>D</w:t>
      </w:r>
      <w:r w:rsidR="007A4B87">
        <w:rPr>
          <w:b/>
          <w:bCs/>
        </w:rPr>
        <w:t>O</w:t>
      </w:r>
      <w:r w:rsidRPr="00283BB0">
        <w:rPr>
          <w:b/>
          <w:bCs/>
        </w:rPr>
        <w:t xml:space="preserve"> NOT re-challenge</w:t>
      </w:r>
      <w:r w:rsidR="00FB11D5">
        <w:rPr>
          <w:bCs/>
        </w:rPr>
        <w:t xml:space="preserve"> with </w:t>
      </w:r>
      <w:r w:rsidR="00C55415">
        <w:rPr>
          <w:bCs/>
        </w:rPr>
        <w:t>rifapentine or r</w:t>
      </w:r>
      <w:r w:rsidR="00FB11D5">
        <w:rPr>
          <w:bCs/>
        </w:rPr>
        <w:t>ifampin</w:t>
      </w:r>
      <w:r w:rsidR="00C55415">
        <w:rPr>
          <w:bCs/>
        </w:rPr>
        <w:t>, or any other rifamycin</w:t>
      </w:r>
      <w:r w:rsidR="00FB11D5">
        <w:rPr>
          <w:bCs/>
        </w:rPr>
        <w:t>.</w:t>
      </w:r>
    </w:p>
    <w:p w14:paraId="2A1A8439" w14:textId="13FCF460" w:rsidR="00594A5A" w:rsidRPr="00AF2E8E" w:rsidRDefault="00C1185F" w:rsidP="00594A5A">
      <w:pPr>
        <w:numPr>
          <w:ilvl w:val="3"/>
          <w:numId w:val="3"/>
        </w:numPr>
      </w:pPr>
      <w:r w:rsidRPr="00C1185F">
        <w:rPr>
          <w:bCs/>
        </w:rPr>
        <w:t xml:space="preserve">If </w:t>
      </w:r>
      <w:r w:rsidRPr="00C1185F">
        <w:t xml:space="preserve">more than 3 </w:t>
      </w:r>
      <w:r w:rsidR="00C55415">
        <w:t>weekly doses of r</w:t>
      </w:r>
      <w:r w:rsidRPr="00C1185F">
        <w:t>ifa</w:t>
      </w:r>
      <w:r w:rsidR="00C55415">
        <w:t>pentine/INH</w:t>
      </w:r>
      <w:r w:rsidRPr="00C1185F">
        <w:t xml:space="preserve"> is needed to complete LTBI therapy, </w:t>
      </w:r>
      <w:r w:rsidR="00C55415" w:rsidRPr="00C55415">
        <w:t>then consideration may be given to switching to moxifloxacin</w:t>
      </w:r>
      <w:r w:rsidR="00283BB0">
        <w:t xml:space="preserve"> or </w:t>
      </w:r>
      <w:r w:rsidR="00C55415" w:rsidRPr="00C55415">
        <w:t>levofloxacin as alternative treatment for LTB</w:t>
      </w:r>
      <w:r w:rsidR="00C55415">
        <w:t>I</w:t>
      </w:r>
      <w:r w:rsidR="00F22FEF" w:rsidRPr="006871ED">
        <w:rPr>
          <w:bCs/>
        </w:rPr>
        <w:t>.</w:t>
      </w:r>
    </w:p>
    <w:p w14:paraId="71865496" w14:textId="77777777" w:rsidR="00AF2E8E" w:rsidRPr="00AF2E8E" w:rsidRDefault="00AF2E8E" w:rsidP="00AF2E8E"/>
    <w:p w14:paraId="6CD13E51" w14:textId="77777777" w:rsidR="00AF2E8E" w:rsidRPr="00AF2E8E" w:rsidRDefault="00AA527D" w:rsidP="00AF2E8E">
      <w:pPr>
        <w:numPr>
          <w:ilvl w:val="0"/>
          <w:numId w:val="3"/>
        </w:numPr>
        <w:rPr>
          <w:b/>
        </w:rPr>
      </w:pPr>
      <w:r w:rsidRPr="00AF2E8E">
        <w:rPr>
          <w:b/>
        </w:rPr>
        <w:t>PROCEDURE FOR DATA COLLECTION AND MONITORING</w:t>
      </w:r>
    </w:p>
    <w:p w14:paraId="203B7C98" w14:textId="3A8EE761" w:rsidR="00AF2E8E" w:rsidRPr="00AF2E8E" w:rsidRDefault="00283BB0" w:rsidP="00AF2E8E">
      <w:pPr>
        <w:numPr>
          <w:ilvl w:val="1"/>
          <w:numId w:val="3"/>
        </w:numPr>
      </w:pPr>
      <w:r>
        <w:rPr>
          <w:shd w:val="clear" w:color="auto" w:fill="FFFFFF"/>
        </w:rPr>
        <w:t xml:space="preserve">Given that rifapentine in not a licensed medication in Canada, </w:t>
      </w:r>
      <w:r w:rsidR="00AA527D" w:rsidRPr="00AF2E8E">
        <w:rPr>
          <w:shd w:val="clear" w:color="auto" w:fill="FFFFFF"/>
        </w:rPr>
        <w:t>some key indicators will need to be closely monitored and regularly reported.</w:t>
      </w:r>
    </w:p>
    <w:p w14:paraId="41659589" w14:textId="57FD4C3D" w:rsidR="00AF2E8E" w:rsidRPr="00AF2E8E" w:rsidRDefault="00AA527D" w:rsidP="00AF2E8E">
      <w:pPr>
        <w:numPr>
          <w:ilvl w:val="1"/>
          <w:numId w:val="3"/>
        </w:numPr>
      </w:pPr>
      <w:r w:rsidRPr="00AF2E8E">
        <w:rPr>
          <w:shd w:val="clear" w:color="auto" w:fill="FFFFFF"/>
        </w:rPr>
        <w:t>Key indicators which need to be measured include:</w:t>
      </w:r>
    </w:p>
    <w:p w14:paraId="6C262CC7" w14:textId="0C0F8BCE" w:rsidR="00AF2E8E" w:rsidRPr="00AF2E8E" w:rsidRDefault="00972094" w:rsidP="00AF2E8E">
      <w:pPr>
        <w:numPr>
          <w:ilvl w:val="2"/>
          <w:numId w:val="3"/>
        </w:numPr>
      </w:pPr>
      <w:r>
        <w:rPr>
          <w:shd w:val="clear" w:color="auto" w:fill="FFFFFF"/>
        </w:rPr>
        <w:t>Treatment completion – p</w:t>
      </w:r>
      <w:r w:rsidR="00AA527D" w:rsidRPr="00AF2E8E">
        <w:rPr>
          <w:shd w:val="clear" w:color="auto" w:fill="FFFFFF"/>
        </w:rPr>
        <w:t>roportion</w:t>
      </w:r>
      <w:r>
        <w:rPr>
          <w:shd w:val="clear" w:color="auto" w:fill="FFFFFF"/>
        </w:rPr>
        <w:t xml:space="preserve"> </w:t>
      </w:r>
      <w:r w:rsidR="00AA527D" w:rsidRPr="00AF2E8E">
        <w:rPr>
          <w:shd w:val="clear" w:color="auto" w:fill="FFFFFF"/>
        </w:rPr>
        <w:t>of persons starting rifapentine/INH treatment who complete at least 1</w:t>
      </w:r>
      <w:r w:rsidR="00C17309">
        <w:rPr>
          <w:shd w:val="clear" w:color="auto" w:fill="FFFFFF"/>
        </w:rPr>
        <w:t>1</w:t>
      </w:r>
      <w:r w:rsidR="00AA527D" w:rsidRPr="00AF2E8E">
        <w:rPr>
          <w:shd w:val="clear" w:color="auto" w:fill="FFFFFF"/>
        </w:rPr>
        <w:t xml:space="preserve"> </w:t>
      </w:r>
      <w:r w:rsidR="00AA527D" w:rsidRPr="00AF2E8E">
        <w:rPr>
          <w:u w:val="single"/>
          <w:shd w:val="clear" w:color="auto" w:fill="FFFFFF"/>
        </w:rPr>
        <w:t>weekly</w:t>
      </w:r>
      <w:r w:rsidR="00AA527D" w:rsidRPr="00AF2E8E">
        <w:rPr>
          <w:shd w:val="clear" w:color="auto" w:fill="FFFFFF"/>
        </w:rPr>
        <w:t xml:space="preserve"> doses within 16 weeks of treatment start; doses must be separated by &gt; 72 hours to count (numerator = number of persons </w:t>
      </w:r>
      <w:r w:rsidR="00AA527D" w:rsidRPr="00EE278C">
        <w:rPr>
          <w:b/>
          <w:shd w:val="clear" w:color="auto" w:fill="FFFFFF"/>
        </w:rPr>
        <w:t>completing rifapentine/INH</w:t>
      </w:r>
      <w:r w:rsidR="0080656D" w:rsidRPr="00AF2E8E">
        <w:rPr>
          <w:shd w:val="clear" w:color="auto" w:fill="FFFFFF"/>
        </w:rPr>
        <w:t xml:space="preserve">; denominator = number of persons </w:t>
      </w:r>
      <w:r w:rsidR="0080656D" w:rsidRPr="00EE278C">
        <w:rPr>
          <w:b/>
          <w:shd w:val="clear" w:color="auto" w:fill="FFFFFF"/>
        </w:rPr>
        <w:t>s</w:t>
      </w:r>
      <w:r w:rsidR="00AA527D" w:rsidRPr="00EE278C">
        <w:rPr>
          <w:b/>
          <w:shd w:val="clear" w:color="auto" w:fill="FFFFFF"/>
        </w:rPr>
        <w:t>tarting rifapentine/INH</w:t>
      </w:r>
      <w:r w:rsidR="00AF2E8E">
        <w:rPr>
          <w:shd w:val="clear" w:color="auto" w:fill="FFFFFF"/>
        </w:rPr>
        <w:t>)</w:t>
      </w:r>
    </w:p>
    <w:p w14:paraId="37D0EE43" w14:textId="16389516" w:rsidR="002F4604" w:rsidRPr="00AF2E8E" w:rsidRDefault="002F4604" w:rsidP="002F4604">
      <w:pPr>
        <w:numPr>
          <w:ilvl w:val="2"/>
          <w:numId w:val="3"/>
        </w:numPr>
      </w:pPr>
      <w:r>
        <w:rPr>
          <w:shd w:val="clear" w:color="auto" w:fill="FFFFFF"/>
        </w:rPr>
        <w:t>Reason for discontinuation – p</w:t>
      </w:r>
      <w:r w:rsidRPr="00AF2E8E">
        <w:rPr>
          <w:shd w:val="clear" w:color="auto" w:fill="FFFFFF"/>
        </w:rPr>
        <w:t>roportion</w:t>
      </w:r>
      <w:r>
        <w:rPr>
          <w:shd w:val="clear" w:color="auto" w:fill="FFFFFF"/>
        </w:rPr>
        <w:t xml:space="preserve"> </w:t>
      </w:r>
      <w:r w:rsidRPr="00AF2E8E">
        <w:rPr>
          <w:shd w:val="clear" w:color="auto" w:fill="FFFFFF"/>
        </w:rPr>
        <w:t>of persons who discontinue rifapentine/INH and are unable to complete a full course (at least 1</w:t>
      </w:r>
      <w:r w:rsidR="00C17309">
        <w:rPr>
          <w:shd w:val="clear" w:color="auto" w:fill="FFFFFF"/>
        </w:rPr>
        <w:t>1</w:t>
      </w:r>
      <w:r w:rsidRPr="00AF2E8E">
        <w:rPr>
          <w:shd w:val="clear" w:color="auto" w:fill="FFFFFF"/>
        </w:rPr>
        <w:t xml:space="preserve"> weekly doses within 16 weeks) </w:t>
      </w:r>
      <w:r>
        <w:rPr>
          <w:shd w:val="clear" w:color="auto" w:fill="FFFFFF"/>
        </w:rPr>
        <w:t xml:space="preserve">with </w:t>
      </w:r>
      <w:r w:rsidRPr="002F4604">
        <w:rPr>
          <w:b/>
          <w:shd w:val="clear" w:color="auto" w:fill="FFFFFF"/>
        </w:rPr>
        <w:t>reason for discontinuation</w:t>
      </w:r>
      <w:r>
        <w:rPr>
          <w:shd w:val="clear" w:color="auto" w:fill="FFFFFF"/>
        </w:rPr>
        <w:t xml:space="preserve"> (</w:t>
      </w:r>
      <w:r w:rsidRPr="00AF2E8E">
        <w:rPr>
          <w:shd w:val="clear" w:color="auto" w:fill="FFFFFF"/>
        </w:rPr>
        <w:t xml:space="preserve">numerator = number of persons </w:t>
      </w:r>
      <w:r>
        <w:rPr>
          <w:b/>
          <w:shd w:val="clear" w:color="auto" w:fill="FFFFFF"/>
        </w:rPr>
        <w:t>discontinuing</w:t>
      </w:r>
      <w:r w:rsidRPr="00EE278C">
        <w:rPr>
          <w:b/>
          <w:shd w:val="clear" w:color="auto" w:fill="FFFFFF"/>
        </w:rPr>
        <w:t xml:space="preserve"> rifapentine/INH</w:t>
      </w:r>
      <w:r w:rsidRPr="00AF2E8E">
        <w:rPr>
          <w:shd w:val="clear" w:color="auto" w:fill="FFFFFF"/>
        </w:rPr>
        <w:t xml:space="preserve">; denominator = number of persons </w:t>
      </w:r>
      <w:r w:rsidRPr="00EE278C">
        <w:rPr>
          <w:b/>
          <w:shd w:val="clear" w:color="auto" w:fill="FFFFFF"/>
        </w:rPr>
        <w:t>starting rifapentine/INH</w:t>
      </w:r>
      <w:r>
        <w:rPr>
          <w:shd w:val="clear" w:color="auto" w:fill="FFFFFF"/>
        </w:rPr>
        <w:t>).</w:t>
      </w:r>
    </w:p>
    <w:p w14:paraId="011E5BA4" w14:textId="53AD803B" w:rsidR="00AF2E8E" w:rsidRPr="00AF2E8E" w:rsidRDefault="002F4604" w:rsidP="00874258">
      <w:pPr>
        <w:numPr>
          <w:ilvl w:val="2"/>
          <w:numId w:val="3"/>
        </w:numPr>
      </w:pPr>
      <w:r>
        <w:rPr>
          <w:shd w:val="clear" w:color="auto" w:fill="FFFFFF"/>
        </w:rPr>
        <w:t>Severe side effects – p</w:t>
      </w:r>
      <w:r w:rsidR="0080656D" w:rsidRPr="00AF2E8E">
        <w:rPr>
          <w:shd w:val="clear" w:color="auto" w:fill="FFFFFF"/>
        </w:rPr>
        <w:t>roportion</w:t>
      </w:r>
      <w:r>
        <w:rPr>
          <w:shd w:val="clear" w:color="auto" w:fill="FFFFFF"/>
        </w:rPr>
        <w:t xml:space="preserve"> </w:t>
      </w:r>
      <w:r w:rsidR="0080656D" w:rsidRPr="00AF2E8E">
        <w:rPr>
          <w:shd w:val="clear" w:color="auto" w:fill="FFFFFF"/>
        </w:rPr>
        <w:t xml:space="preserve">of persons </w:t>
      </w:r>
      <w:r w:rsidR="000C0017">
        <w:rPr>
          <w:shd w:val="clear" w:color="auto" w:fill="FFFFFF"/>
        </w:rPr>
        <w:t xml:space="preserve">taking rifapentine/INH </w:t>
      </w:r>
      <w:r w:rsidR="0080656D" w:rsidRPr="00AF2E8E">
        <w:rPr>
          <w:shd w:val="clear" w:color="auto" w:fill="FFFFFF"/>
        </w:rPr>
        <w:t xml:space="preserve">with </w:t>
      </w:r>
      <w:r w:rsidR="00283BB0">
        <w:rPr>
          <w:shd w:val="clear" w:color="auto" w:fill="FFFFFF"/>
        </w:rPr>
        <w:t>severe</w:t>
      </w:r>
      <w:r w:rsidR="0080656D" w:rsidRPr="00EE278C">
        <w:rPr>
          <w:shd w:val="clear" w:color="auto" w:fill="FFFFFF"/>
        </w:rPr>
        <w:t xml:space="preserve"> side effects </w:t>
      </w:r>
      <w:r w:rsidR="0080656D" w:rsidRPr="00AF2E8E">
        <w:rPr>
          <w:shd w:val="clear" w:color="auto" w:fill="FFFFFF"/>
        </w:rPr>
        <w:t>(</w:t>
      </w:r>
      <w:r w:rsidR="00283BB0">
        <w:rPr>
          <w:shd w:val="clear" w:color="auto" w:fill="FFFFFF"/>
        </w:rPr>
        <w:t>requiring reporting to Health Canada</w:t>
      </w:r>
      <w:r w:rsidR="00874258">
        <w:rPr>
          <w:shd w:val="clear" w:color="auto" w:fill="FFFFFF"/>
        </w:rPr>
        <w:t xml:space="preserve"> </w:t>
      </w:r>
      <w:hyperlink r:id="rId10" w:history="1">
        <w:r w:rsidR="00874258" w:rsidRPr="000719B8">
          <w:rPr>
            <w:rStyle w:val="Hyperlink"/>
            <w:shd w:val="clear" w:color="auto" w:fill="FFFFFF"/>
          </w:rPr>
          <w:t>https://www.canada.ca/en/health-canada/services/drugs-health-products/medeffect-canada/adverse-reaction-reporting.html</w:t>
        </w:r>
      </w:hyperlink>
      <w:r w:rsidR="0080656D" w:rsidRPr="00AF2E8E">
        <w:rPr>
          <w:shd w:val="clear" w:color="auto" w:fill="FFFFFF"/>
        </w:rPr>
        <w:t>)</w:t>
      </w:r>
      <w:r>
        <w:rPr>
          <w:shd w:val="clear" w:color="auto" w:fill="FFFFFF"/>
        </w:rPr>
        <w:t>; generally this would be side effects that are considered Grade 3 (inability to perform work or normal daily activit</w:t>
      </w:r>
      <w:r w:rsidR="00874258">
        <w:rPr>
          <w:shd w:val="clear" w:color="auto" w:fill="FFFFFF"/>
        </w:rPr>
        <w:t>ies</w:t>
      </w:r>
      <w:r>
        <w:rPr>
          <w:shd w:val="clear" w:color="auto" w:fill="FFFFFF"/>
        </w:rPr>
        <w:t xml:space="preserve">), Grade 4 (life threatening or disabling) or Grade 5 (death) </w:t>
      </w:r>
      <w:r w:rsidRPr="00AF2E8E">
        <w:rPr>
          <w:shd w:val="clear" w:color="auto" w:fill="FFFFFF"/>
        </w:rPr>
        <w:t xml:space="preserve">(numerator = number of persons </w:t>
      </w:r>
      <w:r>
        <w:rPr>
          <w:shd w:val="clear" w:color="auto" w:fill="FFFFFF"/>
        </w:rPr>
        <w:t xml:space="preserve">with </w:t>
      </w:r>
      <w:r>
        <w:rPr>
          <w:b/>
          <w:shd w:val="clear" w:color="auto" w:fill="FFFFFF"/>
        </w:rPr>
        <w:t>severe side effects</w:t>
      </w:r>
      <w:r w:rsidRPr="00AF2E8E">
        <w:rPr>
          <w:shd w:val="clear" w:color="auto" w:fill="FFFFFF"/>
        </w:rPr>
        <w:t xml:space="preserve">; denominator = number of persons </w:t>
      </w:r>
      <w:r w:rsidRPr="00EE278C">
        <w:rPr>
          <w:b/>
          <w:shd w:val="clear" w:color="auto" w:fill="FFFFFF"/>
        </w:rPr>
        <w:t>starting rifapentine/INH</w:t>
      </w:r>
      <w:r>
        <w:rPr>
          <w:shd w:val="clear" w:color="auto" w:fill="FFFFFF"/>
        </w:rPr>
        <w:t>).</w:t>
      </w:r>
    </w:p>
    <w:p w14:paraId="04AB077A" w14:textId="32DBD293" w:rsidR="0090691E" w:rsidRPr="0090691E" w:rsidRDefault="002F4604" w:rsidP="00AA527D">
      <w:pPr>
        <w:pStyle w:val="Heading2"/>
        <w:numPr>
          <w:ilvl w:val="1"/>
          <w:numId w:val="3"/>
        </w:numPr>
        <w:tabs>
          <w:tab w:val="left" w:pos="-720"/>
          <w:tab w:val="left" w:pos="0"/>
        </w:tabs>
        <w:suppressAutoHyphens/>
        <w:spacing w:after="0"/>
        <w:rPr>
          <w:b w:val="0"/>
        </w:rPr>
      </w:pPr>
      <w:r>
        <w:rPr>
          <w:b w:val="0"/>
        </w:rPr>
        <w:lastRenderedPageBreak/>
        <w:t>A d</w:t>
      </w:r>
      <w:r w:rsidR="0080656D" w:rsidRPr="0090691E">
        <w:rPr>
          <w:b w:val="0"/>
        </w:rPr>
        <w:t>ata collect</w:t>
      </w:r>
      <w:r>
        <w:rPr>
          <w:b w:val="0"/>
        </w:rPr>
        <w:t>ion</w:t>
      </w:r>
      <w:r w:rsidR="0080656D" w:rsidRPr="0090691E">
        <w:rPr>
          <w:b w:val="0"/>
        </w:rPr>
        <w:t xml:space="preserve"> </w:t>
      </w:r>
      <w:r>
        <w:rPr>
          <w:b w:val="0"/>
        </w:rPr>
        <w:t xml:space="preserve">form </w:t>
      </w:r>
      <w:r w:rsidR="00C17309">
        <w:rPr>
          <w:b w:val="0"/>
        </w:rPr>
        <w:t xml:space="preserve">will </w:t>
      </w:r>
      <w:r>
        <w:rPr>
          <w:b w:val="0"/>
        </w:rPr>
        <w:t>assist with monitoring and evaluation of rifapentine/INH indicators (see appendix</w:t>
      </w:r>
      <w:r w:rsidR="00DF03B8">
        <w:rPr>
          <w:b w:val="0"/>
        </w:rPr>
        <w:t xml:space="preserve"> </w:t>
      </w:r>
      <w:r w:rsidR="00DF03B8" w:rsidRPr="00CD751A">
        <w:rPr>
          <w:b w:val="0"/>
        </w:rPr>
        <w:t>2</w:t>
      </w:r>
      <w:r w:rsidRPr="00CD751A">
        <w:rPr>
          <w:b w:val="0"/>
        </w:rPr>
        <w:t xml:space="preserve"> – </w:t>
      </w:r>
      <w:r w:rsidR="00CD751A">
        <w:rPr>
          <w:b w:val="0"/>
        </w:rPr>
        <w:t>rifapentine treatment reporting form</w:t>
      </w:r>
      <w:r>
        <w:rPr>
          <w:b w:val="0"/>
        </w:rPr>
        <w:t>)</w:t>
      </w:r>
      <w:r w:rsidR="0090691E">
        <w:rPr>
          <w:b w:val="0"/>
          <w:shd w:val="clear" w:color="auto" w:fill="FFFFFF"/>
        </w:rPr>
        <w:t>.</w:t>
      </w:r>
    </w:p>
    <w:p w14:paraId="4C40081F" w14:textId="6B8C380E" w:rsidR="00D557E3" w:rsidRPr="00283BB0" w:rsidRDefault="0080656D" w:rsidP="00283BB0">
      <w:pPr>
        <w:pStyle w:val="Heading2"/>
        <w:numPr>
          <w:ilvl w:val="1"/>
          <w:numId w:val="3"/>
        </w:numPr>
        <w:tabs>
          <w:tab w:val="left" w:pos="-720"/>
          <w:tab w:val="left" w:pos="0"/>
        </w:tabs>
        <w:suppressAutoHyphens/>
        <w:spacing w:after="0"/>
        <w:rPr>
          <w:b w:val="0"/>
        </w:rPr>
      </w:pPr>
      <w:r w:rsidRPr="00283BB0">
        <w:rPr>
          <w:b w:val="0"/>
          <w:shd w:val="clear" w:color="auto" w:fill="FFFFFF"/>
        </w:rPr>
        <w:t xml:space="preserve">Data collected </w:t>
      </w:r>
      <w:r w:rsidR="002F4604">
        <w:rPr>
          <w:b w:val="0"/>
          <w:shd w:val="clear" w:color="auto" w:fill="FFFFFF"/>
        </w:rPr>
        <w:t xml:space="preserve">for monitoring and evaluation of rifapentine/INH </w:t>
      </w:r>
      <w:r w:rsidRPr="00283BB0">
        <w:rPr>
          <w:b w:val="0"/>
          <w:shd w:val="clear" w:color="auto" w:fill="FFFFFF"/>
        </w:rPr>
        <w:t>will be transferred to a</w:t>
      </w:r>
      <w:r w:rsidR="00AF2E8E" w:rsidRPr="00283BB0">
        <w:rPr>
          <w:b w:val="0"/>
          <w:shd w:val="clear" w:color="auto" w:fill="FFFFFF"/>
        </w:rPr>
        <w:t xml:space="preserve"> secure</w:t>
      </w:r>
      <w:r w:rsidRPr="00283BB0">
        <w:rPr>
          <w:b w:val="0"/>
          <w:shd w:val="clear" w:color="auto" w:fill="FFFFFF"/>
        </w:rPr>
        <w:t xml:space="preserve"> electronic database at the WRHA to facilitate further analysis.</w:t>
      </w:r>
    </w:p>
    <w:p w14:paraId="4F847D5B" w14:textId="77777777" w:rsidR="00D557E3" w:rsidRPr="00B44ECB" w:rsidRDefault="00D557E3" w:rsidP="00B44ECB">
      <w:pPr>
        <w:keepNext/>
        <w:tabs>
          <w:tab w:val="left" w:pos="-720"/>
          <w:tab w:val="left" w:pos="0"/>
        </w:tabs>
        <w:suppressAutoHyphens/>
        <w:outlineLvl w:val="1"/>
        <w:rPr>
          <w:bCs/>
        </w:rPr>
      </w:pPr>
    </w:p>
    <w:p w14:paraId="28C9DBB6" w14:textId="362A1E5B" w:rsidR="00B44ECB" w:rsidRPr="00B44ECB" w:rsidRDefault="00B44ECB" w:rsidP="00B44ECB">
      <w:pPr>
        <w:pBdr>
          <w:top w:val="single" w:sz="4" w:space="1" w:color="auto"/>
          <w:left w:val="single" w:sz="4" w:space="15" w:color="auto"/>
          <w:bottom w:val="single" w:sz="4" w:space="1" w:color="auto"/>
          <w:right w:val="single" w:sz="4" w:space="4" w:color="auto"/>
        </w:pBdr>
        <w:tabs>
          <w:tab w:val="left" w:pos="-720"/>
          <w:tab w:val="left" w:pos="0"/>
        </w:tabs>
        <w:suppressAutoHyphens/>
        <w:ind w:left="720"/>
      </w:pPr>
      <w:r w:rsidRPr="00B44ECB">
        <w:rPr>
          <w:b/>
          <w:bCs/>
        </w:rPr>
        <w:t xml:space="preserve">SCOPE: </w:t>
      </w:r>
      <w:r w:rsidRPr="00B44ECB">
        <w:rPr>
          <w:bCs/>
        </w:rPr>
        <w:t>Applicable</w:t>
      </w:r>
      <w:r w:rsidRPr="00B44ECB">
        <w:t xml:space="preserve"> to </w:t>
      </w:r>
      <w:r w:rsidR="002F4604">
        <w:t xml:space="preserve">select </w:t>
      </w:r>
      <w:r w:rsidR="00AF2E8E">
        <w:t>Primary Care</w:t>
      </w:r>
      <w:r w:rsidRPr="00B44ECB">
        <w:t xml:space="preserve"> </w:t>
      </w:r>
      <w:r w:rsidR="00C55415">
        <w:t xml:space="preserve">Clinicians </w:t>
      </w:r>
      <w:r w:rsidR="00C14572">
        <w:t xml:space="preserve">and Specialists </w:t>
      </w:r>
      <w:r w:rsidR="00AF2E8E">
        <w:t xml:space="preserve">who are prescribing LTBI treatments </w:t>
      </w:r>
      <w:r w:rsidR="00C14572">
        <w:t xml:space="preserve">in Manitoba, in clinics that are </w:t>
      </w:r>
      <w:r w:rsidR="00C14572" w:rsidRPr="00C17309">
        <w:rPr>
          <w:b/>
        </w:rPr>
        <w:t xml:space="preserve">able to provide once weekly </w:t>
      </w:r>
      <w:r w:rsidR="00283BB0" w:rsidRPr="00C17309">
        <w:rPr>
          <w:b/>
          <w:bCs/>
        </w:rPr>
        <w:t xml:space="preserve">Directly Observed </w:t>
      </w:r>
      <w:r w:rsidR="00C14572" w:rsidRPr="00C17309">
        <w:rPr>
          <w:b/>
          <w:bCs/>
        </w:rPr>
        <w:t xml:space="preserve">Preventative </w:t>
      </w:r>
      <w:r w:rsidR="00283BB0" w:rsidRPr="00C17309">
        <w:rPr>
          <w:b/>
          <w:bCs/>
        </w:rPr>
        <w:t>Therapy</w:t>
      </w:r>
      <w:r w:rsidR="00C17309">
        <w:rPr>
          <w:bCs/>
        </w:rPr>
        <w:t xml:space="preserve"> and that are </w:t>
      </w:r>
      <w:r w:rsidR="00C17309" w:rsidRPr="00C17309">
        <w:rPr>
          <w:b/>
          <w:bCs/>
        </w:rPr>
        <w:t>able to perform monitoring and evaluation of rifapentine use</w:t>
      </w:r>
      <w:r w:rsidR="00C14572">
        <w:rPr>
          <w:bCs/>
        </w:rPr>
        <w:t xml:space="preserve">, </w:t>
      </w:r>
      <w:r w:rsidR="00283BB0">
        <w:rPr>
          <w:bCs/>
        </w:rPr>
        <w:t>in collaboration with the WRHA Public Health Pr</w:t>
      </w:r>
      <w:r w:rsidR="00283BB0">
        <w:t xml:space="preserve">ogram </w:t>
      </w:r>
      <w:r w:rsidR="00C14572">
        <w:t>Surveillance and Epidemiology unit</w:t>
      </w:r>
      <w:r w:rsidR="00283BB0">
        <w:t xml:space="preserve"> and</w:t>
      </w:r>
      <w:r w:rsidR="00C14572">
        <w:t>/or</w:t>
      </w:r>
      <w:r w:rsidR="00283BB0">
        <w:t xml:space="preserve"> First Nations and Inuit Health Branch</w:t>
      </w:r>
      <w:r w:rsidR="00D81A27">
        <w:t>.</w:t>
      </w:r>
    </w:p>
    <w:p w14:paraId="62FE8BD0" w14:textId="77777777" w:rsidR="00B44ECB" w:rsidRPr="00B44ECB" w:rsidRDefault="00B44ECB" w:rsidP="00B44ECB">
      <w:pPr>
        <w:ind w:left="360"/>
        <w:rPr>
          <w:b/>
          <w:bCs/>
        </w:rPr>
      </w:pPr>
    </w:p>
    <w:p w14:paraId="5A469B54" w14:textId="6213AB07" w:rsidR="00B44ECB" w:rsidRPr="00B44ECB" w:rsidRDefault="00B44ECB" w:rsidP="00B44ECB">
      <w:pPr>
        <w:ind w:left="360"/>
        <w:rPr>
          <w:bCs/>
        </w:rPr>
      </w:pPr>
      <w:r w:rsidRPr="00B44ECB">
        <w:rPr>
          <w:b/>
          <w:bCs/>
        </w:rPr>
        <w:t>Consultation Process</w:t>
      </w:r>
      <w:r w:rsidRPr="00B44ECB">
        <w:rPr>
          <w:bCs/>
        </w:rPr>
        <w:t xml:space="preserve">: </w:t>
      </w:r>
      <w:r w:rsidR="00AF2E8E">
        <w:rPr>
          <w:bCs/>
        </w:rPr>
        <w:t xml:space="preserve">WRHA </w:t>
      </w:r>
      <w:r w:rsidRPr="00B44ECB">
        <w:rPr>
          <w:bCs/>
        </w:rPr>
        <w:t xml:space="preserve">Integrated Tuberculosis Services: </w:t>
      </w:r>
      <w:r w:rsidR="00D81A27">
        <w:rPr>
          <w:bCs/>
        </w:rPr>
        <w:t>I</w:t>
      </w:r>
      <w:r w:rsidRPr="00B44ECB">
        <w:rPr>
          <w:bCs/>
        </w:rPr>
        <w:t>TBS Oversight Committee</w:t>
      </w:r>
    </w:p>
    <w:p w14:paraId="61C1CD84" w14:textId="77777777" w:rsidR="00B44ECB" w:rsidRPr="00B44ECB" w:rsidRDefault="00B44ECB" w:rsidP="00B44ECB">
      <w:pPr>
        <w:ind w:left="360"/>
        <w:rPr>
          <w:bCs/>
        </w:rPr>
      </w:pPr>
    </w:p>
    <w:p w14:paraId="62F61F49" w14:textId="77777777" w:rsidR="00B44ECB" w:rsidRPr="00B44ECB" w:rsidRDefault="00B44ECB" w:rsidP="00B44ECB">
      <w:pPr>
        <w:ind w:left="360"/>
        <w:rPr>
          <w:b/>
          <w:bCs/>
        </w:rPr>
      </w:pPr>
      <w:r w:rsidRPr="00B44ECB">
        <w:rPr>
          <w:b/>
          <w:bCs/>
        </w:rPr>
        <w:t>SOURCE/REFERENCES</w:t>
      </w:r>
    </w:p>
    <w:p w14:paraId="171B27A9" w14:textId="77777777" w:rsidR="00B44ECB" w:rsidRDefault="00B44ECB" w:rsidP="00B44ECB">
      <w:pPr>
        <w:numPr>
          <w:ilvl w:val="0"/>
          <w:numId w:val="4"/>
        </w:numPr>
        <w:tabs>
          <w:tab w:val="left" w:pos="-720"/>
          <w:tab w:val="left" w:pos="360"/>
        </w:tabs>
        <w:suppressAutoHyphens/>
      </w:pPr>
      <w:r w:rsidRPr="00B44ECB">
        <w:t xml:space="preserve">Public Health Agency of Canada (2014) </w:t>
      </w:r>
      <w:r w:rsidRPr="00B44ECB">
        <w:rPr>
          <w:i/>
        </w:rPr>
        <w:t>Canadian Tuberculosis Standards 7</w:t>
      </w:r>
      <w:r w:rsidRPr="00B44ECB">
        <w:rPr>
          <w:i/>
          <w:vertAlign w:val="superscript"/>
        </w:rPr>
        <w:t>th</w:t>
      </w:r>
      <w:r w:rsidRPr="00B44ECB">
        <w:rPr>
          <w:i/>
        </w:rPr>
        <w:t xml:space="preserve"> ed.</w:t>
      </w:r>
    </w:p>
    <w:p w14:paraId="07CD46B4" w14:textId="77777777" w:rsidR="00BA6E66" w:rsidRPr="00B44ECB" w:rsidRDefault="00BA6E66" w:rsidP="00B44ECB">
      <w:pPr>
        <w:numPr>
          <w:ilvl w:val="0"/>
          <w:numId w:val="4"/>
        </w:numPr>
        <w:tabs>
          <w:tab w:val="left" w:pos="-720"/>
          <w:tab w:val="left" w:pos="360"/>
        </w:tabs>
        <w:suppressAutoHyphens/>
      </w:pPr>
      <w:r>
        <w:t>Stagg HR, Zenner D, Harris RJ, et al.  Treatment of Latent Tuberculosis Infection.  Ann Intern Med 2014;161:419-428  doi:10.7326/M14-1019</w:t>
      </w:r>
    </w:p>
    <w:p w14:paraId="691E25BB" w14:textId="77777777" w:rsidR="00B44ECB" w:rsidRPr="00B44ECB" w:rsidRDefault="00B44ECB" w:rsidP="00B44ECB">
      <w:pPr>
        <w:tabs>
          <w:tab w:val="left" w:pos="-720"/>
          <w:tab w:val="left" w:pos="360"/>
        </w:tabs>
        <w:suppressAutoHyphens/>
        <w:ind w:left="720"/>
        <w:rPr>
          <w:u w:val="single"/>
        </w:rPr>
      </w:pPr>
      <w:r w:rsidRPr="00B44ECB">
        <w:t xml:space="preserve"> </w:t>
      </w:r>
    </w:p>
    <w:p w14:paraId="449A5591" w14:textId="77777777" w:rsidR="00B44ECB" w:rsidRPr="00B44ECB" w:rsidRDefault="00B44ECB" w:rsidP="00B44ECB">
      <w:pPr>
        <w:rPr>
          <w:b/>
          <w:bCs/>
        </w:rPr>
      </w:pPr>
      <w:r w:rsidRPr="00B44ECB">
        <w:rPr>
          <w:b/>
        </w:rPr>
        <w:t xml:space="preserve">      </w:t>
      </w:r>
      <w:r w:rsidRPr="00B44ECB">
        <w:rPr>
          <w:b/>
          <w:bCs/>
        </w:rPr>
        <w:t>PRIMARY AUTHOR</w:t>
      </w:r>
      <w:r w:rsidR="00BA6E66">
        <w:rPr>
          <w:b/>
          <w:bCs/>
        </w:rPr>
        <w:t>S</w:t>
      </w:r>
    </w:p>
    <w:p w14:paraId="1E27D6C9" w14:textId="77777777" w:rsidR="00C14572" w:rsidRDefault="00C14572" w:rsidP="00C14572">
      <w:pPr>
        <w:ind w:left="426" w:hanging="66"/>
        <w:rPr>
          <w:bCs/>
        </w:rPr>
      </w:pPr>
      <w:r>
        <w:rPr>
          <w:bCs/>
        </w:rPr>
        <w:t>Dr. Pierre Plourde, Medical Director, Integrated Tuberculosis Services</w:t>
      </w:r>
    </w:p>
    <w:p w14:paraId="53F49F56" w14:textId="1CC6E17F" w:rsidR="00FA4EAA" w:rsidRPr="00AF2E8E" w:rsidRDefault="00AF2E8E" w:rsidP="0009333F">
      <w:pPr>
        <w:ind w:left="426" w:hanging="66"/>
        <w:rPr>
          <w:bCs/>
        </w:rPr>
      </w:pPr>
      <w:r w:rsidRPr="00B44ECB">
        <w:rPr>
          <w:bCs/>
        </w:rPr>
        <w:t>Dr. Brent Roussin, Medical Officer of Health, Fi</w:t>
      </w:r>
      <w:r>
        <w:rPr>
          <w:bCs/>
        </w:rPr>
        <w:t>rst Nations Inuit Health Branch</w:t>
      </w:r>
    </w:p>
    <w:p w14:paraId="7FFF9FDC" w14:textId="3818AD3C" w:rsidR="0009333F" w:rsidRDefault="00FA4EAA" w:rsidP="00CB1C16">
      <w:r>
        <w:rPr>
          <w:bCs/>
        </w:rPr>
        <w:t xml:space="preserve">      </w:t>
      </w:r>
      <w:r w:rsidR="00CB1C16">
        <w:rPr>
          <w:bCs/>
        </w:rPr>
        <w:t>Dr. Heej</w:t>
      </w:r>
      <w:r w:rsidR="0009333F">
        <w:t>une Chang, Medical Officer of Health, Public Health Program, WRHA</w:t>
      </w:r>
    </w:p>
    <w:p w14:paraId="3C9E7628" w14:textId="63468243" w:rsidR="00AF2E8E" w:rsidRPr="000B1D77" w:rsidRDefault="00AF2E8E" w:rsidP="00D81A27">
      <w:pPr>
        <w:ind w:left="360" w:hanging="360"/>
        <w:rPr>
          <w:bCs/>
        </w:rPr>
      </w:pPr>
    </w:p>
    <w:sectPr w:rsidR="00AF2E8E" w:rsidRPr="000B1D77" w:rsidSect="00C9014A">
      <w:headerReference w:type="default" r:id="rId11"/>
      <w:pgSz w:w="12240" w:h="15840"/>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6333" w14:textId="77777777" w:rsidR="00EA6DCD" w:rsidRDefault="00EA6DCD">
      <w:r>
        <w:separator/>
      </w:r>
    </w:p>
  </w:endnote>
  <w:endnote w:type="continuationSeparator" w:id="0">
    <w:p w14:paraId="0D9C3A0A" w14:textId="77777777" w:rsidR="00EA6DCD" w:rsidRDefault="00EA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notTrueType/>
    <w:pitch w:val="variable"/>
    <w:sig w:usb0="F7FFAFFF" w:usb1="E9DFFFFF" w:usb2="0000003F" w:usb3="00000000" w:csb0="003F01FF" w:csb1="00000000"/>
  </w:font>
  <w:font w:name="Lucida Grande">
    <w:altName w:val="Franklin Gothic Medium Cond"/>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00DC0" w14:textId="77777777" w:rsidR="00EA6DCD" w:rsidRDefault="00EA6DCD">
      <w:r>
        <w:separator/>
      </w:r>
    </w:p>
  </w:footnote>
  <w:footnote w:type="continuationSeparator" w:id="0">
    <w:p w14:paraId="288E71C5" w14:textId="77777777" w:rsidR="00EA6DCD" w:rsidRDefault="00EA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34" w:type="dxa"/>
      <w:tblInd w:w="-9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467"/>
      <w:gridCol w:w="793"/>
      <w:gridCol w:w="2250"/>
      <w:gridCol w:w="1121"/>
      <w:gridCol w:w="377"/>
      <w:gridCol w:w="932"/>
      <w:gridCol w:w="429"/>
      <w:gridCol w:w="1035"/>
    </w:tblGrid>
    <w:tr w:rsidR="00004B54" w14:paraId="0D45DABE" w14:textId="77777777" w:rsidTr="00B516AE">
      <w:trPr>
        <w:cantSplit/>
        <w:trHeight w:val="1410"/>
      </w:trPr>
      <w:tc>
        <w:tcPr>
          <w:tcW w:w="3797" w:type="dxa"/>
          <w:gridSpan w:val="2"/>
          <w:tcBorders>
            <w:top w:val="single" w:sz="12" w:space="0" w:color="000000"/>
            <w:bottom w:val="single" w:sz="4" w:space="0" w:color="auto"/>
            <w:right w:val="single" w:sz="12" w:space="0" w:color="auto"/>
          </w:tcBorders>
        </w:tcPr>
        <w:p w14:paraId="369EFA5D" w14:textId="5A1B58D6" w:rsidR="005F001F" w:rsidRPr="005F001F" w:rsidRDefault="00005450" w:rsidP="005F001F">
          <w:r>
            <w:rPr>
              <w:noProof/>
            </w:rPr>
            <w:drawing>
              <wp:inline distT="0" distB="0" distL="0" distR="0" wp14:anchorId="246DFE5F" wp14:editId="2AC44F8A">
                <wp:extent cx="2195830" cy="7747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774700"/>
                        </a:xfrm>
                        <a:prstGeom prst="rect">
                          <a:avLst/>
                        </a:prstGeom>
                        <a:noFill/>
                        <a:ln>
                          <a:noFill/>
                        </a:ln>
                      </pic:spPr>
                    </pic:pic>
                  </a:graphicData>
                </a:graphic>
              </wp:inline>
            </w:drawing>
          </w:r>
        </w:p>
      </w:tc>
      <w:tc>
        <w:tcPr>
          <w:tcW w:w="5902" w:type="dxa"/>
          <w:gridSpan w:val="6"/>
          <w:tcBorders>
            <w:top w:val="single" w:sz="12" w:space="0" w:color="000000"/>
            <w:left w:val="single" w:sz="12" w:space="0" w:color="auto"/>
          </w:tcBorders>
          <w:vAlign w:val="center"/>
        </w:tcPr>
        <w:p w14:paraId="0BF78BBE" w14:textId="77777777" w:rsidR="00004B54" w:rsidRDefault="00004B54" w:rsidP="00177C52">
          <w:pPr>
            <w:jc w:val="center"/>
            <w:rPr>
              <w:rFonts w:ascii="Arial" w:hAnsi="Arial" w:cs="Arial"/>
              <w:b/>
              <w:sz w:val="28"/>
              <w:szCs w:val="28"/>
            </w:rPr>
          </w:pPr>
          <w:r>
            <w:rPr>
              <w:rFonts w:ascii="Arial" w:hAnsi="Arial" w:cs="Arial"/>
              <w:b/>
              <w:sz w:val="28"/>
              <w:szCs w:val="28"/>
            </w:rPr>
            <w:t>Clinical Practice Guideline</w:t>
          </w:r>
        </w:p>
        <w:p w14:paraId="32B8B637" w14:textId="77777777" w:rsidR="00004B54" w:rsidRDefault="00004B54" w:rsidP="00177C52">
          <w:pPr>
            <w:jc w:val="center"/>
          </w:pPr>
        </w:p>
      </w:tc>
      <w:tc>
        <w:tcPr>
          <w:tcW w:w="1035" w:type="dxa"/>
          <w:tcBorders>
            <w:top w:val="single" w:sz="12" w:space="0" w:color="000000"/>
            <w:left w:val="single" w:sz="6" w:space="0" w:color="auto"/>
          </w:tcBorders>
        </w:tcPr>
        <w:p w14:paraId="73332CAD" w14:textId="77777777" w:rsidR="00004B54" w:rsidRDefault="00004B54" w:rsidP="00177C52">
          <w:pPr>
            <w:jc w:val="center"/>
            <w:rPr>
              <w:sz w:val="16"/>
            </w:rPr>
          </w:pPr>
        </w:p>
      </w:tc>
    </w:tr>
    <w:tr w:rsidR="00004B54" w:rsidRPr="00F167C2" w14:paraId="054B1DD6" w14:textId="77777777" w:rsidTr="00B516AE">
      <w:trPr>
        <w:cantSplit/>
        <w:trHeight w:val="516"/>
      </w:trPr>
      <w:tc>
        <w:tcPr>
          <w:tcW w:w="8338" w:type="dxa"/>
          <w:gridSpan w:val="6"/>
          <w:tcBorders>
            <w:top w:val="nil"/>
            <w:bottom w:val="nil"/>
          </w:tcBorders>
        </w:tcPr>
        <w:p w14:paraId="4BE56218" w14:textId="46268524" w:rsidR="00004B54" w:rsidRPr="00F167C2" w:rsidRDefault="008319B4" w:rsidP="00A16F38">
          <w:pPr>
            <w:rPr>
              <w:rFonts w:ascii="Arial" w:hAnsi="Arial" w:cs="Arial"/>
              <w:highlight w:val="yellow"/>
            </w:rPr>
          </w:pPr>
          <w:r>
            <w:rPr>
              <w:rFonts w:ascii="Arial" w:hAnsi="Arial" w:cs="Arial"/>
              <w:b/>
              <w:sz w:val="22"/>
              <w:szCs w:val="22"/>
            </w:rPr>
            <w:t xml:space="preserve">Process for </w:t>
          </w:r>
          <w:r w:rsidR="008603E9">
            <w:rPr>
              <w:rFonts w:ascii="Arial" w:hAnsi="Arial" w:cs="Arial"/>
              <w:b/>
              <w:sz w:val="22"/>
              <w:szCs w:val="22"/>
            </w:rPr>
            <w:t>administration of r</w:t>
          </w:r>
          <w:r w:rsidR="00004B54">
            <w:rPr>
              <w:rFonts w:ascii="Arial" w:hAnsi="Arial" w:cs="Arial"/>
              <w:b/>
              <w:sz w:val="22"/>
              <w:szCs w:val="22"/>
            </w:rPr>
            <w:t>ifap</w:t>
          </w:r>
          <w:r w:rsidR="008603E9">
            <w:rPr>
              <w:rFonts w:ascii="Arial" w:hAnsi="Arial" w:cs="Arial"/>
              <w:b/>
              <w:sz w:val="22"/>
              <w:szCs w:val="22"/>
            </w:rPr>
            <w:t>ent</w:t>
          </w:r>
          <w:r w:rsidR="00004B54">
            <w:rPr>
              <w:rFonts w:ascii="Arial" w:hAnsi="Arial" w:cs="Arial"/>
              <w:b/>
              <w:sz w:val="22"/>
              <w:szCs w:val="22"/>
            </w:rPr>
            <w:t>in</w:t>
          </w:r>
          <w:r w:rsidR="008603E9">
            <w:rPr>
              <w:rFonts w:ascii="Arial" w:hAnsi="Arial" w:cs="Arial"/>
              <w:b/>
              <w:sz w:val="22"/>
              <w:szCs w:val="22"/>
            </w:rPr>
            <w:t>e and isoniazid (INH)</w:t>
          </w:r>
          <w:r>
            <w:rPr>
              <w:rFonts w:ascii="Arial" w:hAnsi="Arial" w:cs="Arial"/>
              <w:b/>
              <w:sz w:val="22"/>
              <w:szCs w:val="22"/>
            </w:rPr>
            <w:t xml:space="preserve"> in adults </w:t>
          </w:r>
          <w:r w:rsidR="008603E9">
            <w:rPr>
              <w:rFonts w:ascii="Arial" w:hAnsi="Arial" w:cs="Arial"/>
              <w:b/>
              <w:sz w:val="22"/>
              <w:szCs w:val="22"/>
            </w:rPr>
            <w:t xml:space="preserve">and children </w:t>
          </w:r>
          <w:r w:rsidR="00004B54">
            <w:rPr>
              <w:rFonts w:ascii="Arial" w:hAnsi="Arial" w:cs="Arial"/>
              <w:b/>
              <w:sz w:val="22"/>
              <w:szCs w:val="22"/>
            </w:rPr>
            <w:t xml:space="preserve">for the </w:t>
          </w:r>
          <w:r>
            <w:rPr>
              <w:rFonts w:ascii="Arial" w:hAnsi="Arial" w:cs="Arial"/>
              <w:b/>
              <w:sz w:val="22"/>
              <w:szCs w:val="22"/>
            </w:rPr>
            <w:t>t</w:t>
          </w:r>
          <w:r w:rsidR="00004B54">
            <w:rPr>
              <w:rFonts w:ascii="Arial" w:hAnsi="Arial" w:cs="Arial"/>
              <w:b/>
              <w:sz w:val="22"/>
              <w:szCs w:val="22"/>
            </w:rPr>
            <w:t>reatment of LTBI</w:t>
          </w:r>
          <w:r w:rsidR="00C17309">
            <w:rPr>
              <w:rFonts w:ascii="Arial" w:hAnsi="Arial" w:cs="Arial"/>
              <w:b/>
              <w:sz w:val="22"/>
              <w:szCs w:val="22"/>
            </w:rPr>
            <w:t xml:space="preserve"> (FNIHB)</w:t>
          </w:r>
        </w:p>
      </w:tc>
      <w:tc>
        <w:tcPr>
          <w:tcW w:w="2396" w:type="dxa"/>
          <w:gridSpan w:val="3"/>
          <w:tcBorders>
            <w:top w:val="nil"/>
          </w:tcBorders>
        </w:tcPr>
        <w:p w14:paraId="39F11FF7" w14:textId="77777777" w:rsidR="00004B54" w:rsidRPr="00F167C2" w:rsidRDefault="00004B54" w:rsidP="00177C52">
          <w:pPr>
            <w:pStyle w:val="Heading4"/>
            <w:jc w:val="center"/>
            <w:rPr>
              <w:rFonts w:ascii="Arial" w:hAnsi="Arial" w:cs="Arial"/>
              <w:b w:val="0"/>
              <w:bCs w:val="0"/>
              <w:color w:val="999999"/>
            </w:rPr>
          </w:pPr>
        </w:p>
        <w:p w14:paraId="72641A1F" w14:textId="77777777" w:rsidR="00004B54" w:rsidRPr="00F167C2" w:rsidRDefault="00004B54" w:rsidP="00177C52">
          <w:pPr>
            <w:pStyle w:val="Heading4"/>
            <w:rPr>
              <w:rFonts w:ascii="Arial" w:hAnsi="Arial" w:cs="Arial"/>
              <w:b w:val="0"/>
              <w:bCs w:val="0"/>
              <w:color w:val="999999"/>
            </w:rPr>
          </w:pPr>
        </w:p>
      </w:tc>
    </w:tr>
    <w:tr w:rsidR="00004B54" w:rsidRPr="00F167C2" w14:paraId="15EFD000" w14:textId="77777777" w:rsidTr="00B516AE">
      <w:trPr>
        <w:cantSplit/>
        <w:trHeight w:val="270"/>
      </w:trPr>
      <w:tc>
        <w:tcPr>
          <w:tcW w:w="7961" w:type="dxa"/>
          <w:gridSpan w:val="5"/>
          <w:tcBorders>
            <w:top w:val="single" w:sz="4" w:space="0" w:color="auto"/>
            <w:bottom w:val="single" w:sz="4" w:space="0" w:color="auto"/>
            <w:right w:val="single" w:sz="12" w:space="0" w:color="auto"/>
          </w:tcBorders>
        </w:tcPr>
        <w:p w14:paraId="2DC456E9" w14:textId="4D048CA8" w:rsidR="00004B54" w:rsidRPr="00F167C2" w:rsidRDefault="00004B54" w:rsidP="008603E9">
          <w:pPr>
            <w:pStyle w:val="Heading4"/>
            <w:rPr>
              <w:rFonts w:ascii="Arial" w:hAnsi="Arial" w:cs="Arial"/>
            </w:rPr>
          </w:pPr>
          <w:r>
            <w:rPr>
              <w:rFonts w:ascii="Arial" w:hAnsi="Arial" w:cs="Arial"/>
              <w:b w:val="0"/>
              <w:bCs w:val="0"/>
              <w:color w:val="999999"/>
            </w:rPr>
            <w:t>AUTHORED</w:t>
          </w:r>
          <w:r w:rsidRPr="00F167C2">
            <w:rPr>
              <w:rFonts w:ascii="Arial" w:hAnsi="Arial" w:cs="Arial"/>
              <w:b w:val="0"/>
              <w:bCs w:val="0"/>
              <w:color w:val="999999"/>
            </w:rPr>
            <w:t xml:space="preserve"> BY:</w:t>
          </w:r>
          <w:r>
            <w:rPr>
              <w:rFonts w:ascii="Arial" w:hAnsi="Arial" w:cs="Arial"/>
              <w:b w:val="0"/>
              <w:bCs w:val="0"/>
              <w:color w:val="999999"/>
            </w:rPr>
            <w:t xml:space="preserve"> </w:t>
          </w:r>
          <w:r w:rsidR="005F001F">
            <w:rPr>
              <w:rFonts w:ascii="Arial" w:hAnsi="Arial" w:cs="Arial"/>
              <w:b w:val="0"/>
              <w:bCs w:val="0"/>
              <w:color w:val="999999"/>
            </w:rPr>
            <w:t>B. Roussin</w:t>
          </w:r>
          <w:r w:rsidR="00CB1C16">
            <w:rPr>
              <w:rFonts w:ascii="Arial" w:hAnsi="Arial" w:cs="Arial"/>
              <w:b w:val="0"/>
              <w:bCs w:val="0"/>
              <w:color w:val="999999"/>
            </w:rPr>
            <w:t xml:space="preserve">, </w:t>
          </w:r>
          <w:r w:rsidR="008603E9">
            <w:rPr>
              <w:rFonts w:ascii="Arial" w:hAnsi="Arial" w:cs="Arial"/>
              <w:b w:val="0"/>
              <w:bCs w:val="0"/>
              <w:color w:val="999999"/>
            </w:rPr>
            <w:t>P</w:t>
          </w:r>
          <w:r>
            <w:rPr>
              <w:rFonts w:ascii="Arial" w:hAnsi="Arial" w:cs="Arial"/>
              <w:b w:val="0"/>
              <w:bCs w:val="0"/>
              <w:color w:val="999999"/>
            </w:rPr>
            <w:t xml:space="preserve">. </w:t>
          </w:r>
          <w:r w:rsidR="008603E9">
            <w:rPr>
              <w:rFonts w:ascii="Arial" w:hAnsi="Arial" w:cs="Arial"/>
              <w:b w:val="0"/>
              <w:bCs w:val="0"/>
              <w:color w:val="999999"/>
            </w:rPr>
            <w:t>Plourde</w:t>
          </w:r>
          <w:r w:rsidR="00CB1C16">
            <w:rPr>
              <w:rFonts w:ascii="Arial" w:hAnsi="Arial" w:cs="Arial"/>
              <w:b w:val="0"/>
              <w:bCs w:val="0"/>
              <w:color w:val="999999"/>
            </w:rPr>
            <w:t>, H. Chang</w:t>
          </w:r>
        </w:p>
      </w:tc>
      <w:tc>
        <w:tcPr>
          <w:tcW w:w="1309" w:type="dxa"/>
          <w:gridSpan w:val="2"/>
          <w:vMerge w:val="restart"/>
          <w:tcBorders>
            <w:left w:val="single" w:sz="12" w:space="0" w:color="auto"/>
          </w:tcBorders>
        </w:tcPr>
        <w:p w14:paraId="47131122" w14:textId="77777777" w:rsidR="00004B54" w:rsidRDefault="00004B54" w:rsidP="00177C52">
          <w:pPr>
            <w:pStyle w:val="Heading4"/>
            <w:rPr>
              <w:rFonts w:ascii="Arial" w:hAnsi="Arial" w:cs="Arial"/>
              <w:b w:val="0"/>
              <w:bCs w:val="0"/>
              <w:color w:val="999999"/>
              <w:sz w:val="20"/>
              <w:szCs w:val="20"/>
            </w:rPr>
          </w:pPr>
          <w:r>
            <w:rPr>
              <w:rFonts w:ascii="Arial" w:hAnsi="Arial" w:cs="Arial"/>
              <w:b w:val="0"/>
              <w:bCs w:val="0"/>
              <w:color w:val="999999"/>
              <w:sz w:val="20"/>
              <w:szCs w:val="20"/>
            </w:rPr>
            <w:t>TARGET REVIEW DATE</w:t>
          </w:r>
        </w:p>
        <w:p w14:paraId="6046FD03" w14:textId="3B17F283" w:rsidR="005D325A" w:rsidRPr="005D325A" w:rsidRDefault="005D325A" w:rsidP="005D325A">
          <w:r>
            <w:t>May 2026</w:t>
          </w:r>
        </w:p>
      </w:tc>
      <w:tc>
        <w:tcPr>
          <w:tcW w:w="1464" w:type="dxa"/>
          <w:gridSpan w:val="2"/>
          <w:vMerge w:val="restart"/>
        </w:tcPr>
        <w:p w14:paraId="1E654A29" w14:textId="77777777" w:rsidR="00004B54" w:rsidRDefault="00004B54" w:rsidP="00177C52">
          <w:pPr>
            <w:pStyle w:val="Heading4"/>
            <w:rPr>
              <w:rFonts w:ascii="Arial" w:hAnsi="Arial" w:cs="Arial"/>
              <w:b w:val="0"/>
              <w:bCs w:val="0"/>
              <w:color w:val="999999"/>
              <w:sz w:val="20"/>
              <w:szCs w:val="20"/>
            </w:rPr>
          </w:pPr>
          <w:r w:rsidRPr="00F167C2">
            <w:rPr>
              <w:rFonts w:ascii="Arial" w:hAnsi="Arial" w:cs="Arial"/>
              <w:b w:val="0"/>
              <w:bCs w:val="0"/>
              <w:color w:val="999999"/>
              <w:sz w:val="20"/>
              <w:szCs w:val="20"/>
            </w:rPr>
            <w:t>PAGE</w:t>
          </w:r>
        </w:p>
        <w:p w14:paraId="2EDADA37" w14:textId="77777777" w:rsidR="00B516AE" w:rsidRDefault="00B516AE" w:rsidP="00B516AE"/>
        <w:p w14:paraId="1CF24939" w14:textId="77777777" w:rsidR="00B516AE" w:rsidRPr="00B516AE" w:rsidRDefault="00B516AE" w:rsidP="00B516AE">
          <w:pPr>
            <w:rPr>
              <w:rFonts w:ascii="Arial" w:hAnsi="Arial" w:cs="Arial"/>
              <w:sz w:val="20"/>
              <w:szCs w:val="20"/>
            </w:rPr>
          </w:pPr>
          <w:r w:rsidRPr="00B516AE">
            <w:rPr>
              <w:rFonts w:ascii="Arial" w:hAnsi="Arial" w:cs="Arial"/>
              <w:sz w:val="20"/>
              <w:szCs w:val="20"/>
            </w:rPr>
            <w:t xml:space="preserve">Page </w:t>
          </w:r>
          <w:r w:rsidRPr="00B516AE">
            <w:rPr>
              <w:rFonts w:ascii="Arial" w:hAnsi="Arial" w:cs="Arial"/>
              <w:b/>
              <w:sz w:val="20"/>
              <w:szCs w:val="20"/>
            </w:rPr>
            <w:fldChar w:fldCharType="begin"/>
          </w:r>
          <w:r w:rsidRPr="00B516AE">
            <w:rPr>
              <w:rFonts w:ascii="Arial" w:hAnsi="Arial" w:cs="Arial"/>
              <w:b/>
              <w:sz w:val="20"/>
              <w:szCs w:val="20"/>
            </w:rPr>
            <w:instrText xml:space="preserve"> PAGE  \* Arabic  \* MERGEFORMAT </w:instrText>
          </w:r>
          <w:r w:rsidRPr="00B516AE">
            <w:rPr>
              <w:rFonts w:ascii="Arial" w:hAnsi="Arial" w:cs="Arial"/>
              <w:b/>
              <w:sz w:val="20"/>
              <w:szCs w:val="20"/>
            </w:rPr>
            <w:fldChar w:fldCharType="separate"/>
          </w:r>
          <w:r w:rsidR="005B6236">
            <w:rPr>
              <w:rFonts w:ascii="Arial" w:hAnsi="Arial" w:cs="Arial"/>
              <w:b/>
              <w:noProof/>
              <w:sz w:val="20"/>
              <w:szCs w:val="20"/>
            </w:rPr>
            <w:t>4</w:t>
          </w:r>
          <w:r w:rsidRPr="00B516AE">
            <w:rPr>
              <w:rFonts w:ascii="Arial" w:hAnsi="Arial" w:cs="Arial"/>
              <w:b/>
              <w:sz w:val="20"/>
              <w:szCs w:val="20"/>
            </w:rPr>
            <w:fldChar w:fldCharType="end"/>
          </w:r>
          <w:r w:rsidRPr="00B516AE">
            <w:rPr>
              <w:rFonts w:ascii="Arial" w:hAnsi="Arial" w:cs="Arial"/>
              <w:sz w:val="20"/>
              <w:szCs w:val="20"/>
            </w:rPr>
            <w:t xml:space="preserve"> of </w:t>
          </w:r>
          <w:r w:rsidRPr="00B516AE">
            <w:rPr>
              <w:rFonts w:ascii="Arial" w:hAnsi="Arial" w:cs="Arial"/>
              <w:b/>
              <w:sz w:val="20"/>
              <w:szCs w:val="20"/>
            </w:rPr>
            <w:fldChar w:fldCharType="begin"/>
          </w:r>
          <w:r w:rsidRPr="00B516AE">
            <w:rPr>
              <w:rFonts w:ascii="Arial" w:hAnsi="Arial" w:cs="Arial"/>
              <w:b/>
              <w:sz w:val="20"/>
              <w:szCs w:val="20"/>
            </w:rPr>
            <w:instrText xml:space="preserve"> NUMPAGES  \* Arabic  \* MERGEFORMAT </w:instrText>
          </w:r>
          <w:r w:rsidRPr="00B516AE">
            <w:rPr>
              <w:rFonts w:ascii="Arial" w:hAnsi="Arial" w:cs="Arial"/>
              <w:b/>
              <w:sz w:val="20"/>
              <w:szCs w:val="20"/>
            </w:rPr>
            <w:fldChar w:fldCharType="separate"/>
          </w:r>
          <w:r w:rsidR="005B6236">
            <w:rPr>
              <w:rFonts w:ascii="Arial" w:hAnsi="Arial" w:cs="Arial"/>
              <w:b/>
              <w:noProof/>
              <w:sz w:val="20"/>
              <w:szCs w:val="20"/>
            </w:rPr>
            <w:t>14</w:t>
          </w:r>
          <w:r w:rsidRPr="00B516AE">
            <w:rPr>
              <w:rFonts w:ascii="Arial" w:hAnsi="Arial" w:cs="Arial"/>
              <w:b/>
              <w:sz w:val="20"/>
              <w:szCs w:val="20"/>
            </w:rPr>
            <w:fldChar w:fldCharType="end"/>
          </w:r>
        </w:p>
      </w:tc>
    </w:tr>
    <w:tr w:rsidR="00004B54" w:rsidRPr="00F167C2" w14:paraId="65CF331C" w14:textId="77777777" w:rsidTr="00B516AE">
      <w:trPr>
        <w:cantSplit/>
        <w:trHeight w:hRule="exact" w:val="284"/>
      </w:trPr>
      <w:tc>
        <w:tcPr>
          <w:tcW w:w="3330" w:type="dxa"/>
          <w:tcBorders>
            <w:top w:val="single" w:sz="4" w:space="0" w:color="auto"/>
            <w:right w:val="single" w:sz="12" w:space="0" w:color="auto"/>
          </w:tcBorders>
        </w:tcPr>
        <w:p w14:paraId="2C0B3DA2" w14:textId="77777777" w:rsidR="00004B54" w:rsidRPr="00C12E3F" w:rsidRDefault="00004B54" w:rsidP="00C12E3F">
          <w:pPr>
            <w:rPr>
              <w:rFonts w:ascii="Arial" w:hAnsi="Arial" w:cs="Arial"/>
              <w:sz w:val="20"/>
              <w:szCs w:val="20"/>
            </w:rPr>
          </w:pPr>
          <w:r w:rsidRPr="00C12E3F">
            <w:rPr>
              <w:rFonts w:ascii="Arial" w:hAnsi="Arial" w:cs="Arial"/>
              <w:bCs/>
              <w:color w:val="999999"/>
            </w:rPr>
            <w:t>APPROVED BY:</w:t>
          </w:r>
        </w:p>
      </w:tc>
      <w:tc>
        <w:tcPr>
          <w:tcW w:w="1260" w:type="dxa"/>
          <w:gridSpan w:val="2"/>
          <w:tcBorders>
            <w:top w:val="single" w:sz="4" w:space="0" w:color="auto"/>
            <w:left w:val="single" w:sz="12" w:space="0" w:color="000000"/>
            <w:right w:val="single" w:sz="12" w:space="0" w:color="auto"/>
          </w:tcBorders>
        </w:tcPr>
        <w:p w14:paraId="46483B14" w14:textId="77777777" w:rsidR="00004B54" w:rsidRPr="00F167C2" w:rsidRDefault="00004B54" w:rsidP="00177C52">
          <w:pPr>
            <w:jc w:val="center"/>
            <w:rPr>
              <w:rFonts w:ascii="Arial" w:hAnsi="Arial" w:cs="Arial"/>
              <w:b/>
              <w:sz w:val="16"/>
              <w:szCs w:val="16"/>
            </w:rPr>
          </w:pPr>
          <w:r w:rsidRPr="00F167C2">
            <w:rPr>
              <w:rFonts w:ascii="Arial" w:hAnsi="Arial" w:cs="Arial"/>
              <w:b/>
              <w:sz w:val="16"/>
              <w:szCs w:val="16"/>
            </w:rPr>
            <w:t>Date</w:t>
          </w:r>
        </w:p>
      </w:tc>
      <w:tc>
        <w:tcPr>
          <w:tcW w:w="2250" w:type="dxa"/>
          <w:tcBorders>
            <w:top w:val="single" w:sz="4" w:space="0" w:color="auto"/>
            <w:left w:val="single" w:sz="12" w:space="0" w:color="000000"/>
            <w:right w:val="single" w:sz="12" w:space="0" w:color="auto"/>
          </w:tcBorders>
        </w:tcPr>
        <w:p w14:paraId="5C0F5631" w14:textId="77777777" w:rsidR="00004B54" w:rsidRPr="00F167C2" w:rsidRDefault="00004B54" w:rsidP="00177C52">
          <w:pPr>
            <w:jc w:val="center"/>
            <w:rPr>
              <w:rFonts w:ascii="Arial" w:hAnsi="Arial" w:cs="Arial"/>
              <w:b/>
              <w:sz w:val="20"/>
              <w:szCs w:val="20"/>
            </w:rPr>
          </w:pPr>
        </w:p>
      </w:tc>
      <w:tc>
        <w:tcPr>
          <w:tcW w:w="1121" w:type="dxa"/>
          <w:tcBorders>
            <w:top w:val="single" w:sz="4" w:space="0" w:color="auto"/>
            <w:left w:val="single" w:sz="12" w:space="0" w:color="000000"/>
            <w:right w:val="single" w:sz="12" w:space="0" w:color="auto"/>
          </w:tcBorders>
        </w:tcPr>
        <w:p w14:paraId="536A6D2B" w14:textId="77777777" w:rsidR="00004B54" w:rsidRPr="00B516AE" w:rsidRDefault="00004B54" w:rsidP="00177C52">
          <w:pPr>
            <w:pStyle w:val="Heading2"/>
            <w:tabs>
              <w:tab w:val="left" w:pos="-720"/>
              <w:tab w:val="left" w:pos="0"/>
            </w:tabs>
            <w:suppressAutoHyphens/>
            <w:jc w:val="center"/>
            <w:rPr>
              <w:rFonts w:ascii="Arial" w:hAnsi="Arial" w:cs="Arial"/>
              <w:spacing w:val="-3"/>
              <w:sz w:val="16"/>
              <w:szCs w:val="16"/>
              <w:lang w:val="en-GB"/>
            </w:rPr>
          </w:pPr>
          <w:r w:rsidRPr="00B516AE">
            <w:rPr>
              <w:rFonts w:ascii="Arial" w:hAnsi="Arial" w:cs="Arial"/>
              <w:spacing w:val="-3"/>
              <w:sz w:val="16"/>
              <w:szCs w:val="16"/>
              <w:lang w:val="en-GB"/>
            </w:rPr>
            <w:t>Date</w:t>
          </w:r>
        </w:p>
      </w:tc>
      <w:tc>
        <w:tcPr>
          <w:tcW w:w="1309" w:type="dxa"/>
          <w:gridSpan w:val="2"/>
          <w:vMerge/>
          <w:tcBorders>
            <w:left w:val="single" w:sz="12" w:space="0" w:color="auto"/>
          </w:tcBorders>
        </w:tcPr>
        <w:p w14:paraId="34EADC85" w14:textId="77777777" w:rsidR="00004B54" w:rsidRPr="00F167C2" w:rsidRDefault="00004B54" w:rsidP="00177C52">
          <w:pPr>
            <w:pStyle w:val="Heading4"/>
            <w:jc w:val="center"/>
            <w:rPr>
              <w:rFonts w:ascii="Arial" w:hAnsi="Arial" w:cs="Arial"/>
              <w:bCs w:val="0"/>
              <w:color w:val="999999"/>
            </w:rPr>
          </w:pPr>
        </w:p>
      </w:tc>
      <w:tc>
        <w:tcPr>
          <w:tcW w:w="1464" w:type="dxa"/>
          <w:gridSpan w:val="2"/>
          <w:vMerge/>
        </w:tcPr>
        <w:p w14:paraId="311AA240" w14:textId="77777777" w:rsidR="00004B54" w:rsidRPr="00F167C2" w:rsidRDefault="00004B54" w:rsidP="00177C52">
          <w:pPr>
            <w:pStyle w:val="Heading4"/>
            <w:jc w:val="center"/>
            <w:rPr>
              <w:rFonts w:ascii="Arial" w:hAnsi="Arial" w:cs="Arial"/>
              <w:bCs w:val="0"/>
              <w:color w:val="999999"/>
            </w:rPr>
          </w:pPr>
        </w:p>
      </w:tc>
    </w:tr>
    <w:tr w:rsidR="0090691E" w:rsidRPr="00F167C2" w14:paraId="130B07A5" w14:textId="77777777" w:rsidTr="00B516AE">
      <w:trPr>
        <w:cantSplit/>
        <w:trHeight w:hRule="exact" w:val="618"/>
      </w:trPr>
      <w:tc>
        <w:tcPr>
          <w:tcW w:w="3330" w:type="dxa"/>
          <w:tcBorders>
            <w:top w:val="single" w:sz="4" w:space="0" w:color="auto"/>
            <w:right w:val="single" w:sz="12" w:space="0" w:color="auto"/>
          </w:tcBorders>
        </w:tcPr>
        <w:p w14:paraId="58E8AC69" w14:textId="08C4A8F1" w:rsidR="0090691E" w:rsidRPr="0090691E" w:rsidRDefault="0090691E" w:rsidP="0090691E">
          <w:pPr>
            <w:pStyle w:val="ListParagraph"/>
            <w:numPr>
              <w:ilvl w:val="0"/>
              <w:numId w:val="14"/>
            </w:numPr>
            <w:ind w:left="342"/>
            <w:rPr>
              <w:rFonts w:ascii="Arial" w:hAnsi="Arial" w:cs="Arial"/>
              <w:sz w:val="20"/>
              <w:szCs w:val="20"/>
            </w:rPr>
          </w:pPr>
          <w:r w:rsidRPr="00C31CF6">
            <w:rPr>
              <w:rFonts w:ascii="Arial" w:hAnsi="Arial" w:cs="Arial"/>
              <w:sz w:val="20"/>
              <w:szCs w:val="20"/>
            </w:rPr>
            <w:t xml:space="preserve">ITBS </w:t>
          </w:r>
          <w:r>
            <w:rPr>
              <w:rFonts w:ascii="Arial" w:hAnsi="Arial" w:cs="Arial"/>
              <w:sz w:val="20"/>
              <w:szCs w:val="20"/>
            </w:rPr>
            <w:t>Oversight Committee</w:t>
          </w:r>
        </w:p>
      </w:tc>
      <w:tc>
        <w:tcPr>
          <w:tcW w:w="1260" w:type="dxa"/>
          <w:gridSpan w:val="2"/>
          <w:tcBorders>
            <w:top w:val="single" w:sz="4" w:space="0" w:color="auto"/>
            <w:left w:val="single" w:sz="12" w:space="0" w:color="000000"/>
            <w:right w:val="single" w:sz="12" w:space="0" w:color="auto"/>
          </w:tcBorders>
        </w:tcPr>
        <w:p w14:paraId="712B1FEB" w14:textId="132FA715" w:rsidR="00A16F38" w:rsidRPr="00B516AE" w:rsidRDefault="0096090D" w:rsidP="00E1004D">
          <w:pPr>
            <w:ind w:right="44"/>
            <w:rPr>
              <w:rFonts w:ascii="Arial" w:hAnsi="Arial" w:cs="Arial"/>
              <w:sz w:val="16"/>
              <w:szCs w:val="16"/>
            </w:rPr>
          </w:pPr>
          <w:r>
            <w:rPr>
              <w:rFonts w:ascii="Arial" w:hAnsi="Arial" w:cs="Arial"/>
              <w:sz w:val="16"/>
              <w:szCs w:val="16"/>
            </w:rPr>
            <w:t>November</w:t>
          </w:r>
          <w:r w:rsidR="00A16F38">
            <w:rPr>
              <w:rFonts w:ascii="Arial" w:hAnsi="Arial" w:cs="Arial"/>
              <w:sz w:val="16"/>
              <w:szCs w:val="16"/>
            </w:rPr>
            <w:t xml:space="preserve"> 2017</w:t>
          </w:r>
        </w:p>
      </w:tc>
      <w:tc>
        <w:tcPr>
          <w:tcW w:w="2250" w:type="dxa"/>
          <w:tcBorders>
            <w:top w:val="single" w:sz="4" w:space="0" w:color="auto"/>
            <w:left w:val="single" w:sz="12" w:space="0" w:color="000000"/>
            <w:right w:val="single" w:sz="12" w:space="0" w:color="auto"/>
          </w:tcBorders>
        </w:tcPr>
        <w:p w14:paraId="1E746A2B" w14:textId="42CF7D0A" w:rsidR="0090691E" w:rsidRPr="00F167C2" w:rsidRDefault="000030D8" w:rsidP="008603E9">
          <w:pPr>
            <w:rPr>
              <w:rFonts w:ascii="Arial" w:hAnsi="Arial" w:cs="Arial"/>
              <w:sz w:val="20"/>
              <w:szCs w:val="20"/>
            </w:rPr>
          </w:pPr>
          <w:r>
            <w:rPr>
              <w:rFonts w:ascii="Arial" w:hAnsi="Arial" w:cs="Arial"/>
              <w:sz w:val="20"/>
              <w:szCs w:val="20"/>
            </w:rPr>
            <w:t>Updated</w:t>
          </w:r>
        </w:p>
      </w:tc>
      <w:tc>
        <w:tcPr>
          <w:tcW w:w="1121" w:type="dxa"/>
          <w:tcBorders>
            <w:top w:val="single" w:sz="4" w:space="0" w:color="auto"/>
            <w:left w:val="single" w:sz="12" w:space="0" w:color="000000"/>
            <w:right w:val="single" w:sz="12" w:space="0" w:color="auto"/>
          </w:tcBorders>
        </w:tcPr>
        <w:p w14:paraId="7319A765" w14:textId="0FA14F09" w:rsidR="0090691E" w:rsidRPr="00F167C2" w:rsidRDefault="005D325A" w:rsidP="00177C52">
          <w:pPr>
            <w:pStyle w:val="Heading2"/>
            <w:tabs>
              <w:tab w:val="left" w:pos="-720"/>
              <w:tab w:val="left" w:pos="0"/>
            </w:tabs>
            <w:suppressAutoHyphens/>
            <w:spacing w:after="0"/>
            <w:rPr>
              <w:rFonts w:ascii="Arial" w:hAnsi="Arial" w:cs="Arial"/>
              <w:b w:val="0"/>
              <w:sz w:val="18"/>
              <w:szCs w:val="18"/>
            </w:rPr>
          </w:pPr>
          <w:r>
            <w:rPr>
              <w:rFonts w:ascii="Arial" w:hAnsi="Arial" w:cs="Arial"/>
              <w:b w:val="0"/>
              <w:sz w:val="18"/>
              <w:szCs w:val="18"/>
            </w:rPr>
            <w:t>May 2023</w:t>
          </w:r>
        </w:p>
      </w:tc>
      <w:tc>
        <w:tcPr>
          <w:tcW w:w="1309" w:type="dxa"/>
          <w:gridSpan w:val="2"/>
          <w:vMerge/>
          <w:tcBorders>
            <w:left w:val="single" w:sz="12" w:space="0" w:color="auto"/>
          </w:tcBorders>
        </w:tcPr>
        <w:p w14:paraId="3A37BB3D" w14:textId="77777777" w:rsidR="0090691E" w:rsidRPr="00F167C2" w:rsidRDefault="0090691E" w:rsidP="00177C52">
          <w:pPr>
            <w:pStyle w:val="Heading4"/>
            <w:rPr>
              <w:rFonts w:ascii="Arial" w:hAnsi="Arial" w:cs="Arial"/>
              <w:b w:val="0"/>
              <w:bCs w:val="0"/>
              <w:color w:val="999999"/>
              <w:sz w:val="18"/>
              <w:szCs w:val="18"/>
            </w:rPr>
          </w:pPr>
        </w:p>
      </w:tc>
      <w:tc>
        <w:tcPr>
          <w:tcW w:w="1464" w:type="dxa"/>
          <w:gridSpan w:val="2"/>
          <w:vMerge/>
        </w:tcPr>
        <w:p w14:paraId="0716DC38" w14:textId="77777777" w:rsidR="0090691E" w:rsidRPr="00F167C2" w:rsidRDefault="0090691E" w:rsidP="00177C52">
          <w:pPr>
            <w:pStyle w:val="Heading4"/>
            <w:rPr>
              <w:rFonts w:ascii="Arial" w:hAnsi="Arial" w:cs="Arial"/>
              <w:b w:val="0"/>
              <w:bCs w:val="0"/>
              <w:color w:val="999999"/>
              <w:sz w:val="18"/>
              <w:szCs w:val="18"/>
            </w:rPr>
          </w:pPr>
        </w:p>
      </w:tc>
    </w:tr>
    <w:tr w:rsidR="0090691E" w:rsidRPr="00F167C2" w14:paraId="2BB1A0E1" w14:textId="77777777" w:rsidTr="00B516AE">
      <w:trPr>
        <w:cantSplit/>
        <w:trHeight w:hRule="exact" w:val="537"/>
      </w:trPr>
      <w:tc>
        <w:tcPr>
          <w:tcW w:w="3330" w:type="dxa"/>
          <w:tcBorders>
            <w:top w:val="single" w:sz="4" w:space="0" w:color="auto"/>
            <w:bottom w:val="single" w:sz="12" w:space="0" w:color="000000"/>
            <w:right w:val="single" w:sz="12" w:space="0" w:color="auto"/>
          </w:tcBorders>
        </w:tcPr>
        <w:p w14:paraId="2930FA5E" w14:textId="4C419668" w:rsidR="0090691E" w:rsidRPr="00F167C2" w:rsidRDefault="0090691E" w:rsidP="0090691E">
          <w:pPr>
            <w:rPr>
              <w:rFonts w:ascii="Arial" w:hAnsi="Arial" w:cs="Arial"/>
              <w:sz w:val="20"/>
              <w:szCs w:val="20"/>
            </w:rPr>
          </w:pPr>
        </w:p>
      </w:tc>
      <w:tc>
        <w:tcPr>
          <w:tcW w:w="1260" w:type="dxa"/>
          <w:gridSpan w:val="2"/>
          <w:tcBorders>
            <w:top w:val="single" w:sz="4" w:space="0" w:color="auto"/>
            <w:left w:val="single" w:sz="12" w:space="0" w:color="000000"/>
            <w:bottom w:val="single" w:sz="12" w:space="0" w:color="000000"/>
            <w:right w:val="single" w:sz="12" w:space="0" w:color="auto"/>
          </w:tcBorders>
        </w:tcPr>
        <w:p w14:paraId="5701AF2E" w14:textId="00DA281D" w:rsidR="0090691E" w:rsidRPr="00F167C2" w:rsidRDefault="0090691E" w:rsidP="0058376B">
          <w:pPr>
            <w:rPr>
              <w:rFonts w:ascii="Arial" w:hAnsi="Arial" w:cs="Arial"/>
              <w:sz w:val="20"/>
              <w:szCs w:val="20"/>
            </w:rPr>
          </w:pPr>
        </w:p>
      </w:tc>
      <w:tc>
        <w:tcPr>
          <w:tcW w:w="2250" w:type="dxa"/>
          <w:tcBorders>
            <w:top w:val="single" w:sz="4" w:space="0" w:color="auto"/>
            <w:left w:val="single" w:sz="12" w:space="0" w:color="000000"/>
            <w:bottom w:val="single" w:sz="12" w:space="0" w:color="000000"/>
            <w:right w:val="single" w:sz="12" w:space="0" w:color="auto"/>
          </w:tcBorders>
        </w:tcPr>
        <w:p w14:paraId="76AA590A" w14:textId="77777777" w:rsidR="0090691E" w:rsidRPr="00C31CF6" w:rsidRDefault="0090691E" w:rsidP="008603E9">
          <w:pPr>
            <w:rPr>
              <w:rFonts w:ascii="Arial" w:hAnsi="Arial" w:cs="Arial"/>
              <w:sz w:val="20"/>
              <w:szCs w:val="20"/>
            </w:rPr>
          </w:pPr>
        </w:p>
      </w:tc>
      <w:tc>
        <w:tcPr>
          <w:tcW w:w="1121" w:type="dxa"/>
          <w:tcBorders>
            <w:top w:val="single" w:sz="4" w:space="0" w:color="auto"/>
            <w:left w:val="single" w:sz="12" w:space="0" w:color="000000"/>
            <w:bottom w:val="single" w:sz="12" w:space="0" w:color="000000"/>
            <w:right w:val="single" w:sz="12" w:space="0" w:color="auto"/>
          </w:tcBorders>
        </w:tcPr>
        <w:p w14:paraId="0026D2F7" w14:textId="77777777" w:rsidR="0090691E" w:rsidRPr="00F167C2" w:rsidRDefault="0090691E" w:rsidP="00177C52">
          <w:pPr>
            <w:rPr>
              <w:rFonts w:ascii="Arial" w:hAnsi="Arial" w:cs="Arial"/>
              <w:sz w:val="18"/>
              <w:szCs w:val="18"/>
            </w:rPr>
          </w:pPr>
        </w:p>
      </w:tc>
      <w:tc>
        <w:tcPr>
          <w:tcW w:w="1309" w:type="dxa"/>
          <w:gridSpan w:val="2"/>
          <w:vMerge/>
          <w:tcBorders>
            <w:left w:val="single" w:sz="12" w:space="0" w:color="auto"/>
            <w:bottom w:val="single" w:sz="12" w:space="0" w:color="000000"/>
          </w:tcBorders>
        </w:tcPr>
        <w:p w14:paraId="6C780ACB" w14:textId="77777777" w:rsidR="0090691E" w:rsidRPr="00F167C2" w:rsidRDefault="0090691E" w:rsidP="00BF5A86">
          <w:pPr>
            <w:numPr>
              <w:ilvl w:val="0"/>
              <w:numId w:val="1"/>
            </w:numPr>
            <w:rPr>
              <w:rFonts w:ascii="Arial" w:hAnsi="Arial" w:cs="Arial"/>
              <w:b/>
              <w:bCs/>
              <w:color w:val="999999"/>
              <w:sz w:val="18"/>
              <w:szCs w:val="18"/>
            </w:rPr>
          </w:pPr>
        </w:p>
      </w:tc>
      <w:tc>
        <w:tcPr>
          <w:tcW w:w="1464" w:type="dxa"/>
          <w:gridSpan w:val="2"/>
          <w:vMerge/>
          <w:tcBorders>
            <w:bottom w:val="single" w:sz="12" w:space="0" w:color="000000"/>
          </w:tcBorders>
        </w:tcPr>
        <w:p w14:paraId="54430F5F" w14:textId="77777777" w:rsidR="0090691E" w:rsidRPr="00F167C2" w:rsidRDefault="0090691E" w:rsidP="00BF5A86">
          <w:pPr>
            <w:pStyle w:val="Heading4"/>
            <w:numPr>
              <w:ilvl w:val="0"/>
              <w:numId w:val="1"/>
            </w:numPr>
            <w:rPr>
              <w:rFonts w:ascii="Arial" w:hAnsi="Arial" w:cs="Arial"/>
              <w:b w:val="0"/>
              <w:bCs w:val="0"/>
              <w:color w:val="999999"/>
              <w:sz w:val="18"/>
              <w:szCs w:val="18"/>
            </w:rPr>
          </w:pPr>
        </w:p>
      </w:tc>
    </w:tr>
  </w:tbl>
  <w:p w14:paraId="5875AAC2" w14:textId="0735AC00" w:rsidR="00004B54" w:rsidRDefault="00004B54">
    <w:pPr>
      <w:pStyle w:val="Header"/>
    </w:pPr>
  </w:p>
  <w:p w14:paraId="3524B835" w14:textId="77777777" w:rsidR="001B150F" w:rsidRDefault="001B15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428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B408E"/>
    <w:multiLevelType w:val="multilevel"/>
    <w:tmpl w:val="A508B17A"/>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770"/>
        </w:tabs>
        <w:ind w:left="1770" w:hanging="1050"/>
      </w:pPr>
      <w:rPr>
        <w:rFonts w:hint="default"/>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B66B00"/>
    <w:multiLevelType w:val="hybridMultilevel"/>
    <w:tmpl w:val="F01849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E02CE4"/>
    <w:multiLevelType w:val="multilevel"/>
    <w:tmpl w:val="21E46EE8"/>
    <w:lvl w:ilvl="0">
      <w:start w:val="1"/>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824592F"/>
    <w:multiLevelType w:val="hybridMultilevel"/>
    <w:tmpl w:val="31B8EE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264F65EA"/>
    <w:multiLevelType w:val="hybridMultilevel"/>
    <w:tmpl w:val="0B0E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572DB"/>
    <w:multiLevelType w:val="hybridMultilevel"/>
    <w:tmpl w:val="AC1E6774"/>
    <w:lvl w:ilvl="0" w:tplc="50A064EA">
      <w:start w:val="1"/>
      <w:numFmt w:val="bullet"/>
      <w:lvlText w:val=""/>
      <w:lvlJc w:val="left"/>
      <w:pPr>
        <w:tabs>
          <w:tab w:val="num" w:pos="284"/>
        </w:tabs>
        <w:ind w:left="284" w:hanging="284"/>
      </w:pPr>
      <w:rPr>
        <w:rFonts w:ascii="Wingdings" w:eastAsia="Times New Roman" w:hAnsi="Wingdings" w:hint="default"/>
      </w:rPr>
    </w:lvl>
    <w:lvl w:ilvl="1" w:tplc="6136E2C4">
      <w:start w:val="1"/>
      <w:numFmt w:val="bullet"/>
      <w:lvlText w:val=""/>
      <w:lvlJc w:val="left"/>
      <w:pPr>
        <w:tabs>
          <w:tab w:val="num" w:pos="1364"/>
        </w:tabs>
        <w:ind w:left="1364" w:hanging="284"/>
      </w:pPr>
      <w:rPr>
        <w:rFonts w:ascii="Wingdings" w:eastAsia="Times New Roman"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24633"/>
    <w:multiLevelType w:val="hybridMultilevel"/>
    <w:tmpl w:val="54C4485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10C260A"/>
    <w:multiLevelType w:val="hybridMultilevel"/>
    <w:tmpl w:val="F1F28674"/>
    <w:lvl w:ilvl="0" w:tplc="50A064EA">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54BDE"/>
    <w:multiLevelType w:val="multilevel"/>
    <w:tmpl w:val="B23E72A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070" w:hanging="720"/>
      </w:pPr>
      <w:rPr>
        <w:rFonts w:hint="default"/>
        <w:color w:val="auto"/>
        <w:sz w:val="20"/>
        <w:szCs w:val="20"/>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10" w15:restartNumberingAfterBreak="0">
    <w:nsid w:val="51B964A2"/>
    <w:multiLevelType w:val="hybridMultilevel"/>
    <w:tmpl w:val="B80E9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33F546A"/>
    <w:multiLevelType w:val="hybridMultilevel"/>
    <w:tmpl w:val="5F906A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6C05EC6"/>
    <w:multiLevelType w:val="multilevel"/>
    <w:tmpl w:val="AE0C9B5A"/>
    <w:lvl w:ilvl="0">
      <w:start w:val="1"/>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b w:val="0"/>
        <w:lang w:val="en-US"/>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667557BB"/>
    <w:multiLevelType w:val="hybridMultilevel"/>
    <w:tmpl w:val="E58A8C58"/>
    <w:lvl w:ilvl="0" w:tplc="50A064EA">
      <w:start w:val="1"/>
      <w:numFmt w:val="bullet"/>
      <w:lvlText w:val=""/>
      <w:lvlJc w:val="left"/>
      <w:pPr>
        <w:tabs>
          <w:tab w:val="num" w:pos="284"/>
        </w:tabs>
        <w:ind w:left="284" w:hanging="284"/>
      </w:pPr>
      <w:rPr>
        <w:rFonts w:ascii="Wingdings" w:eastAsia="Times New Roman"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2"/>
  </w:num>
  <w:num w:numId="4">
    <w:abstractNumId w:val="7"/>
  </w:num>
  <w:num w:numId="5">
    <w:abstractNumId w:val="5"/>
  </w:num>
  <w:num w:numId="6">
    <w:abstractNumId w:val="2"/>
  </w:num>
  <w:num w:numId="7">
    <w:abstractNumId w:val="4"/>
  </w:num>
  <w:num w:numId="8">
    <w:abstractNumId w:val="11"/>
  </w:num>
  <w:num w:numId="9">
    <w:abstractNumId w:val="10"/>
  </w:num>
  <w:num w:numId="10">
    <w:abstractNumId w:val="0"/>
  </w:num>
  <w:num w:numId="11">
    <w:abstractNumId w:val="1"/>
  </w:num>
  <w:num w:numId="12">
    <w:abstractNumId w:val="3"/>
  </w:num>
  <w:num w:numId="13">
    <w:abstractNumId w:val="9"/>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D3"/>
    <w:rsid w:val="0000282C"/>
    <w:rsid w:val="000030D8"/>
    <w:rsid w:val="00004B54"/>
    <w:rsid w:val="00005450"/>
    <w:rsid w:val="000054B8"/>
    <w:rsid w:val="000126EC"/>
    <w:rsid w:val="000167EE"/>
    <w:rsid w:val="00021B31"/>
    <w:rsid w:val="000256F7"/>
    <w:rsid w:val="00036D2F"/>
    <w:rsid w:val="000429F6"/>
    <w:rsid w:val="00046924"/>
    <w:rsid w:val="00054420"/>
    <w:rsid w:val="00065166"/>
    <w:rsid w:val="00066D2F"/>
    <w:rsid w:val="000733A1"/>
    <w:rsid w:val="0007340A"/>
    <w:rsid w:val="000770ED"/>
    <w:rsid w:val="00085261"/>
    <w:rsid w:val="00086E6F"/>
    <w:rsid w:val="00087B96"/>
    <w:rsid w:val="0009333F"/>
    <w:rsid w:val="000B1D77"/>
    <w:rsid w:val="000C0017"/>
    <w:rsid w:val="000C14B0"/>
    <w:rsid w:val="000C1A81"/>
    <w:rsid w:val="000C7671"/>
    <w:rsid w:val="000F0809"/>
    <w:rsid w:val="000F324D"/>
    <w:rsid w:val="001203AC"/>
    <w:rsid w:val="00130A96"/>
    <w:rsid w:val="00143CC8"/>
    <w:rsid w:val="00154174"/>
    <w:rsid w:val="00156B1D"/>
    <w:rsid w:val="0015779A"/>
    <w:rsid w:val="00177C52"/>
    <w:rsid w:val="00193BE7"/>
    <w:rsid w:val="001959E5"/>
    <w:rsid w:val="001A09EA"/>
    <w:rsid w:val="001A3F06"/>
    <w:rsid w:val="001B150F"/>
    <w:rsid w:val="001B784D"/>
    <w:rsid w:val="001C25CC"/>
    <w:rsid w:val="001C605E"/>
    <w:rsid w:val="001C7D7C"/>
    <w:rsid w:val="001D0D8D"/>
    <w:rsid w:val="001D720C"/>
    <w:rsid w:val="001D7E48"/>
    <w:rsid w:val="001E3E68"/>
    <w:rsid w:val="00200F45"/>
    <w:rsid w:val="002131F2"/>
    <w:rsid w:val="002151DC"/>
    <w:rsid w:val="00220BE6"/>
    <w:rsid w:val="002233C0"/>
    <w:rsid w:val="002251FB"/>
    <w:rsid w:val="0023141C"/>
    <w:rsid w:val="00236A8D"/>
    <w:rsid w:val="002378A9"/>
    <w:rsid w:val="0024571A"/>
    <w:rsid w:val="00256E2C"/>
    <w:rsid w:val="00283BB0"/>
    <w:rsid w:val="0029309B"/>
    <w:rsid w:val="002B0C39"/>
    <w:rsid w:val="002B2AC4"/>
    <w:rsid w:val="002B510A"/>
    <w:rsid w:val="002B6079"/>
    <w:rsid w:val="002C201D"/>
    <w:rsid w:val="002C40BA"/>
    <w:rsid w:val="002D4078"/>
    <w:rsid w:val="002E11FB"/>
    <w:rsid w:val="002F1287"/>
    <w:rsid w:val="002F4604"/>
    <w:rsid w:val="00313BF3"/>
    <w:rsid w:val="003212B8"/>
    <w:rsid w:val="0032387A"/>
    <w:rsid w:val="0033166B"/>
    <w:rsid w:val="00342D84"/>
    <w:rsid w:val="00345B71"/>
    <w:rsid w:val="0035364B"/>
    <w:rsid w:val="00356222"/>
    <w:rsid w:val="00356C92"/>
    <w:rsid w:val="00364137"/>
    <w:rsid w:val="003675DE"/>
    <w:rsid w:val="003A1A14"/>
    <w:rsid w:val="003B3CCF"/>
    <w:rsid w:val="003B4438"/>
    <w:rsid w:val="003B7DCA"/>
    <w:rsid w:val="003D6693"/>
    <w:rsid w:val="003E39A1"/>
    <w:rsid w:val="003E624A"/>
    <w:rsid w:val="003F02BE"/>
    <w:rsid w:val="003F33CD"/>
    <w:rsid w:val="003F45E7"/>
    <w:rsid w:val="003F645D"/>
    <w:rsid w:val="00401356"/>
    <w:rsid w:val="0041629F"/>
    <w:rsid w:val="00431021"/>
    <w:rsid w:val="00435799"/>
    <w:rsid w:val="00440F43"/>
    <w:rsid w:val="00445CDD"/>
    <w:rsid w:val="004476C2"/>
    <w:rsid w:val="0045392D"/>
    <w:rsid w:val="00463477"/>
    <w:rsid w:val="0048087A"/>
    <w:rsid w:val="004C6D86"/>
    <w:rsid w:val="004D2611"/>
    <w:rsid w:val="004E227B"/>
    <w:rsid w:val="004E43E1"/>
    <w:rsid w:val="004E7FDB"/>
    <w:rsid w:val="004F3A5B"/>
    <w:rsid w:val="004F6106"/>
    <w:rsid w:val="004F66BA"/>
    <w:rsid w:val="00507DCF"/>
    <w:rsid w:val="00514751"/>
    <w:rsid w:val="005252CA"/>
    <w:rsid w:val="00527866"/>
    <w:rsid w:val="005318D7"/>
    <w:rsid w:val="00534409"/>
    <w:rsid w:val="00553C31"/>
    <w:rsid w:val="0055468E"/>
    <w:rsid w:val="00560BC7"/>
    <w:rsid w:val="00562F07"/>
    <w:rsid w:val="00564BC8"/>
    <w:rsid w:val="005661D0"/>
    <w:rsid w:val="0056761F"/>
    <w:rsid w:val="00573B60"/>
    <w:rsid w:val="00573B6E"/>
    <w:rsid w:val="00575848"/>
    <w:rsid w:val="00580CA6"/>
    <w:rsid w:val="0058192E"/>
    <w:rsid w:val="00583037"/>
    <w:rsid w:val="0058376B"/>
    <w:rsid w:val="00583B37"/>
    <w:rsid w:val="005847EF"/>
    <w:rsid w:val="005907F8"/>
    <w:rsid w:val="0059360A"/>
    <w:rsid w:val="00594A5A"/>
    <w:rsid w:val="00594CC4"/>
    <w:rsid w:val="005A32F9"/>
    <w:rsid w:val="005A69BF"/>
    <w:rsid w:val="005B6236"/>
    <w:rsid w:val="005B7797"/>
    <w:rsid w:val="005C0107"/>
    <w:rsid w:val="005C159C"/>
    <w:rsid w:val="005D325A"/>
    <w:rsid w:val="005E2190"/>
    <w:rsid w:val="005F001F"/>
    <w:rsid w:val="005F3009"/>
    <w:rsid w:val="006032EE"/>
    <w:rsid w:val="00614E72"/>
    <w:rsid w:val="006169CC"/>
    <w:rsid w:val="00623BCB"/>
    <w:rsid w:val="006602C8"/>
    <w:rsid w:val="00667549"/>
    <w:rsid w:val="00675207"/>
    <w:rsid w:val="0067574D"/>
    <w:rsid w:val="00677163"/>
    <w:rsid w:val="006871ED"/>
    <w:rsid w:val="00692DCD"/>
    <w:rsid w:val="00693914"/>
    <w:rsid w:val="006A239C"/>
    <w:rsid w:val="006B3913"/>
    <w:rsid w:val="006B393C"/>
    <w:rsid w:val="006B7F4B"/>
    <w:rsid w:val="006C2195"/>
    <w:rsid w:val="006C3A51"/>
    <w:rsid w:val="006D115B"/>
    <w:rsid w:val="006D1FF3"/>
    <w:rsid w:val="006E3005"/>
    <w:rsid w:val="0070029F"/>
    <w:rsid w:val="00722BA4"/>
    <w:rsid w:val="00726FC5"/>
    <w:rsid w:val="007342F2"/>
    <w:rsid w:val="00741E22"/>
    <w:rsid w:val="00746E63"/>
    <w:rsid w:val="00750905"/>
    <w:rsid w:val="00752526"/>
    <w:rsid w:val="0075329A"/>
    <w:rsid w:val="00754885"/>
    <w:rsid w:val="007678CF"/>
    <w:rsid w:val="007719EB"/>
    <w:rsid w:val="007824D2"/>
    <w:rsid w:val="0078427C"/>
    <w:rsid w:val="00784A87"/>
    <w:rsid w:val="00787D63"/>
    <w:rsid w:val="0079074A"/>
    <w:rsid w:val="00794C12"/>
    <w:rsid w:val="00797D26"/>
    <w:rsid w:val="007A3BD3"/>
    <w:rsid w:val="007A4B87"/>
    <w:rsid w:val="007A4EEA"/>
    <w:rsid w:val="007B7E86"/>
    <w:rsid w:val="007D056D"/>
    <w:rsid w:val="007D1424"/>
    <w:rsid w:val="007D4BCD"/>
    <w:rsid w:val="007D78BD"/>
    <w:rsid w:val="007E6EAB"/>
    <w:rsid w:val="007F1BEA"/>
    <w:rsid w:val="007F3134"/>
    <w:rsid w:val="007F3E06"/>
    <w:rsid w:val="00802D66"/>
    <w:rsid w:val="0080656D"/>
    <w:rsid w:val="00813860"/>
    <w:rsid w:val="0082336A"/>
    <w:rsid w:val="00826DD4"/>
    <w:rsid w:val="008319B4"/>
    <w:rsid w:val="00831AC7"/>
    <w:rsid w:val="00841DD6"/>
    <w:rsid w:val="008470D5"/>
    <w:rsid w:val="008474C4"/>
    <w:rsid w:val="00853C1F"/>
    <w:rsid w:val="00855E79"/>
    <w:rsid w:val="008603E9"/>
    <w:rsid w:val="00866889"/>
    <w:rsid w:val="00874258"/>
    <w:rsid w:val="00881E90"/>
    <w:rsid w:val="008838B1"/>
    <w:rsid w:val="008905B3"/>
    <w:rsid w:val="0089230A"/>
    <w:rsid w:val="0089747A"/>
    <w:rsid w:val="008A103A"/>
    <w:rsid w:val="008A4391"/>
    <w:rsid w:val="008B7028"/>
    <w:rsid w:val="008C17DE"/>
    <w:rsid w:val="008C27B5"/>
    <w:rsid w:val="008D2F7D"/>
    <w:rsid w:val="008D7E1A"/>
    <w:rsid w:val="008E2275"/>
    <w:rsid w:val="008E6A1E"/>
    <w:rsid w:val="00904B0A"/>
    <w:rsid w:val="0090691E"/>
    <w:rsid w:val="00917DCE"/>
    <w:rsid w:val="00925A29"/>
    <w:rsid w:val="00942623"/>
    <w:rsid w:val="00945210"/>
    <w:rsid w:val="00947C40"/>
    <w:rsid w:val="0096090D"/>
    <w:rsid w:val="00966983"/>
    <w:rsid w:val="00970AA3"/>
    <w:rsid w:val="00972094"/>
    <w:rsid w:val="00973B9D"/>
    <w:rsid w:val="00973E9C"/>
    <w:rsid w:val="0097472E"/>
    <w:rsid w:val="00975B48"/>
    <w:rsid w:val="009800BE"/>
    <w:rsid w:val="009C56D2"/>
    <w:rsid w:val="009D149E"/>
    <w:rsid w:val="009F14D3"/>
    <w:rsid w:val="009F3060"/>
    <w:rsid w:val="009F34D1"/>
    <w:rsid w:val="009F5E3B"/>
    <w:rsid w:val="009F695C"/>
    <w:rsid w:val="00A06AFE"/>
    <w:rsid w:val="00A1307D"/>
    <w:rsid w:val="00A16240"/>
    <w:rsid w:val="00A163CF"/>
    <w:rsid w:val="00A16F38"/>
    <w:rsid w:val="00A3521D"/>
    <w:rsid w:val="00A46368"/>
    <w:rsid w:val="00A548F6"/>
    <w:rsid w:val="00A6012F"/>
    <w:rsid w:val="00A62EA6"/>
    <w:rsid w:val="00A64C48"/>
    <w:rsid w:val="00A64D68"/>
    <w:rsid w:val="00A67AB7"/>
    <w:rsid w:val="00A87912"/>
    <w:rsid w:val="00AA16B6"/>
    <w:rsid w:val="00AA527D"/>
    <w:rsid w:val="00AB0874"/>
    <w:rsid w:val="00AB1BDA"/>
    <w:rsid w:val="00AB3963"/>
    <w:rsid w:val="00AC2A0B"/>
    <w:rsid w:val="00AC2E1B"/>
    <w:rsid w:val="00AD546C"/>
    <w:rsid w:val="00AE5DBA"/>
    <w:rsid w:val="00AF2E8E"/>
    <w:rsid w:val="00AF5862"/>
    <w:rsid w:val="00AF6125"/>
    <w:rsid w:val="00B06AC4"/>
    <w:rsid w:val="00B07215"/>
    <w:rsid w:val="00B1701D"/>
    <w:rsid w:val="00B20678"/>
    <w:rsid w:val="00B309C1"/>
    <w:rsid w:val="00B44ECB"/>
    <w:rsid w:val="00B501E7"/>
    <w:rsid w:val="00B516AE"/>
    <w:rsid w:val="00B54116"/>
    <w:rsid w:val="00B625DE"/>
    <w:rsid w:val="00B76D10"/>
    <w:rsid w:val="00B8017A"/>
    <w:rsid w:val="00B81242"/>
    <w:rsid w:val="00B81C13"/>
    <w:rsid w:val="00B83E34"/>
    <w:rsid w:val="00B85EF5"/>
    <w:rsid w:val="00B86BE1"/>
    <w:rsid w:val="00B910C9"/>
    <w:rsid w:val="00BA1BD7"/>
    <w:rsid w:val="00BA6E66"/>
    <w:rsid w:val="00BB4F9F"/>
    <w:rsid w:val="00BB7379"/>
    <w:rsid w:val="00BB7491"/>
    <w:rsid w:val="00BC3E53"/>
    <w:rsid w:val="00BD2372"/>
    <w:rsid w:val="00BE60C2"/>
    <w:rsid w:val="00BF3738"/>
    <w:rsid w:val="00BF4B45"/>
    <w:rsid w:val="00BF5A86"/>
    <w:rsid w:val="00C03202"/>
    <w:rsid w:val="00C04467"/>
    <w:rsid w:val="00C1185F"/>
    <w:rsid w:val="00C11BBC"/>
    <w:rsid w:val="00C12C78"/>
    <w:rsid w:val="00C12E3F"/>
    <w:rsid w:val="00C14572"/>
    <w:rsid w:val="00C17309"/>
    <w:rsid w:val="00C31CF6"/>
    <w:rsid w:val="00C3255F"/>
    <w:rsid w:val="00C34235"/>
    <w:rsid w:val="00C4364E"/>
    <w:rsid w:val="00C43D7D"/>
    <w:rsid w:val="00C55415"/>
    <w:rsid w:val="00C64184"/>
    <w:rsid w:val="00C66D16"/>
    <w:rsid w:val="00C67F80"/>
    <w:rsid w:val="00C76CDE"/>
    <w:rsid w:val="00C80808"/>
    <w:rsid w:val="00C9014A"/>
    <w:rsid w:val="00C93346"/>
    <w:rsid w:val="00CA0FB5"/>
    <w:rsid w:val="00CA7A22"/>
    <w:rsid w:val="00CB1C16"/>
    <w:rsid w:val="00CC01A9"/>
    <w:rsid w:val="00CC1780"/>
    <w:rsid w:val="00CD751A"/>
    <w:rsid w:val="00CF1D7F"/>
    <w:rsid w:val="00CF5134"/>
    <w:rsid w:val="00CF75FD"/>
    <w:rsid w:val="00D004BE"/>
    <w:rsid w:val="00D009D3"/>
    <w:rsid w:val="00D26267"/>
    <w:rsid w:val="00D30563"/>
    <w:rsid w:val="00D30F0F"/>
    <w:rsid w:val="00D41C1B"/>
    <w:rsid w:val="00D462B5"/>
    <w:rsid w:val="00D557E3"/>
    <w:rsid w:val="00D60797"/>
    <w:rsid w:val="00D6105C"/>
    <w:rsid w:val="00D65056"/>
    <w:rsid w:val="00D7145C"/>
    <w:rsid w:val="00D716B0"/>
    <w:rsid w:val="00D735EC"/>
    <w:rsid w:val="00D81A27"/>
    <w:rsid w:val="00DA06D6"/>
    <w:rsid w:val="00DA34EC"/>
    <w:rsid w:val="00DA5A07"/>
    <w:rsid w:val="00DB39F4"/>
    <w:rsid w:val="00DB68EB"/>
    <w:rsid w:val="00DC18E9"/>
    <w:rsid w:val="00DC3E0C"/>
    <w:rsid w:val="00DE4815"/>
    <w:rsid w:val="00DF03B8"/>
    <w:rsid w:val="00DF1EB8"/>
    <w:rsid w:val="00E03F96"/>
    <w:rsid w:val="00E049A8"/>
    <w:rsid w:val="00E053B2"/>
    <w:rsid w:val="00E1004D"/>
    <w:rsid w:val="00E2319D"/>
    <w:rsid w:val="00E32721"/>
    <w:rsid w:val="00E67C45"/>
    <w:rsid w:val="00E71D24"/>
    <w:rsid w:val="00E7312C"/>
    <w:rsid w:val="00E73A99"/>
    <w:rsid w:val="00E773E3"/>
    <w:rsid w:val="00E80374"/>
    <w:rsid w:val="00E97C46"/>
    <w:rsid w:val="00EA1B6D"/>
    <w:rsid w:val="00EA1B94"/>
    <w:rsid w:val="00EA6DCD"/>
    <w:rsid w:val="00EB4556"/>
    <w:rsid w:val="00EB4FF2"/>
    <w:rsid w:val="00EC0DEC"/>
    <w:rsid w:val="00EC1B6C"/>
    <w:rsid w:val="00EC5310"/>
    <w:rsid w:val="00EE278C"/>
    <w:rsid w:val="00EE410D"/>
    <w:rsid w:val="00EF223B"/>
    <w:rsid w:val="00F14250"/>
    <w:rsid w:val="00F167C2"/>
    <w:rsid w:val="00F22FEF"/>
    <w:rsid w:val="00F27131"/>
    <w:rsid w:val="00F30A72"/>
    <w:rsid w:val="00F36E49"/>
    <w:rsid w:val="00F42FBF"/>
    <w:rsid w:val="00F47A63"/>
    <w:rsid w:val="00F61E8B"/>
    <w:rsid w:val="00F62732"/>
    <w:rsid w:val="00F70EBC"/>
    <w:rsid w:val="00F83A9E"/>
    <w:rsid w:val="00F84310"/>
    <w:rsid w:val="00F92B55"/>
    <w:rsid w:val="00F93560"/>
    <w:rsid w:val="00FA4EAA"/>
    <w:rsid w:val="00FA7FBF"/>
    <w:rsid w:val="00FB0355"/>
    <w:rsid w:val="00FB11D5"/>
    <w:rsid w:val="00FB1881"/>
    <w:rsid w:val="00FB3AC6"/>
    <w:rsid w:val="00FC392A"/>
    <w:rsid w:val="00FF58AA"/>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5D52A2E6"/>
  <w15:docId w15:val="{0F707C8C-6AC4-4A30-9FB6-A2ED4922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45E7"/>
    <w:rPr>
      <w:sz w:val="24"/>
      <w:szCs w:val="24"/>
    </w:rPr>
  </w:style>
  <w:style w:type="paragraph" w:styleId="Heading1">
    <w:name w:val="heading 1"/>
    <w:basedOn w:val="Normal"/>
    <w:next w:val="Normal"/>
    <w:link w:val="Heading1Char"/>
    <w:qFormat/>
    <w:pPr>
      <w:keepNext/>
      <w:jc w:val="both"/>
      <w:outlineLvl w:val="0"/>
    </w:pPr>
    <w:rPr>
      <w:b/>
      <w:bCs/>
      <w:sz w:val="22"/>
      <w:u w:val="single"/>
    </w:rPr>
  </w:style>
  <w:style w:type="paragraph" w:styleId="Heading2">
    <w:name w:val="heading 2"/>
    <w:basedOn w:val="Normal"/>
    <w:next w:val="Normal"/>
    <w:link w:val="Heading2Char"/>
    <w:qFormat/>
    <w:pPr>
      <w:keepNext/>
      <w:spacing w:after="120"/>
      <w:outlineLvl w:val="1"/>
    </w:pPr>
    <w:rPr>
      <w:b/>
      <w:bCs/>
    </w:rPr>
  </w:style>
  <w:style w:type="paragraph" w:styleId="Heading3">
    <w:name w:val="heading 3"/>
    <w:basedOn w:val="Normal"/>
    <w:next w:val="Normal"/>
    <w:link w:val="Heading3Char"/>
    <w:qFormat/>
    <w:pPr>
      <w:keepNext/>
      <w:jc w:val="center"/>
      <w:outlineLvl w:val="2"/>
    </w:pPr>
    <w:rPr>
      <w:rFonts w:ascii="Arial" w:hAnsi="Arial"/>
      <w:b/>
      <w:szCs w:val="20"/>
    </w:rPr>
  </w:style>
  <w:style w:type="paragraph" w:styleId="Heading4">
    <w:name w:val="heading 4"/>
    <w:basedOn w:val="Normal"/>
    <w:next w:val="Normal"/>
    <w:link w:val="Heading4Char"/>
    <w:qFormat/>
    <w:pPr>
      <w:keepNext/>
      <w:outlineLvl w:val="3"/>
    </w:pPr>
    <w:rPr>
      <w:b/>
      <w:bCs/>
      <w:color w:val="C0C0C0"/>
    </w:rPr>
  </w:style>
  <w:style w:type="paragraph" w:styleId="Heading5">
    <w:name w:val="heading 5"/>
    <w:basedOn w:val="Normal"/>
    <w:next w:val="Normal"/>
    <w:link w:val="Heading5Char"/>
    <w:qFormat/>
    <w:pPr>
      <w:keepNext/>
      <w:jc w:val="both"/>
      <w:outlineLvl w:val="4"/>
    </w:pPr>
    <w:rPr>
      <w:rFonts w:ascii="Arial Narrow" w:hAnsi="Arial Narrow" w:cs="Tahoma"/>
      <w:b/>
      <w:bCs/>
      <w:szCs w:val="20"/>
    </w:rPr>
  </w:style>
  <w:style w:type="paragraph" w:styleId="Heading6">
    <w:name w:val="heading 6"/>
    <w:basedOn w:val="Normal"/>
    <w:next w:val="Normal"/>
    <w:link w:val="Heading6Char"/>
    <w:qFormat/>
    <w:pPr>
      <w:keepNext/>
      <w:outlineLvl w:val="5"/>
    </w:pPr>
    <w:rPr>
      <w:rFonts w:ascii="Arial Narrow" w:hAnsi="Arial Narrow" w:cs="Tahoma"/>
      <w:b/>
      <w:bCs/>
      <w:sz w:val="21"/>
      <w:szCs w:val="20"/>
    </w:rPr>
  </w:style>
  <w:style w:type="paragraph" w:styleId="Heading7">
    <w:name w:val="heading 7"/>
    <w:basedOn w:val="Normal"/>
    <w:next w:val="Normal"/>
    <w:link w:val="Heading7Char"/>
    <w:qFormat/>
    <w:pPr>
      <w:keepNext/>
      <w:outlineLvl w:val="6"/>
    </w:pPr>
    <w:rPr>
      <w:b/>
      <w:bCs/>
      <w:sz w:val="22"/>
    </w:rPr>
  </w:style>
  <w:style w:type="paragraph" w:styleId="Heading8">
    <w:name w:val="heading 8"/>
    <w:basedOn w:val="Normal"/>
    <w:next w:val="Normal"/>
    <w:link w:val="Heading8Char"/>
    <w:qFormat/>
    <w:pPr>
      <w:keepNext/>
      <w:tabs>
        <w:tab w:val="num" w:pos="2520"/>
      </w:tabs>
      <w:outlineLvl w:val="7"/>
    </w:pPr>
    <w:rPr>
      <w:b/>
      <w:sz w:val="20"/>
      <w:szCs w:val="20"/>
      <w:u w:val="single"/>
    </w:rPr>
  </w:style>
  <w:style w:type="paragraph" w:styleId="Heading9">
    <w:name w:val="heading 9"/>
    <w:basedOn w:val="Normal"/>
    <w:next w:val="Normal"/>
    <w:link w:val="Heading9Char"/>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libri" w:eastAsia="MS Gothic" w:hAnsi="Calibri" w:cs="Times New Roman"/>
      <w:b/>
      <w:bCs/>
      <w:kern w:val="32"/>
      <w:sz w:val="32"/>
      <w:szCs w:val="32"/>
    </w:rPr>
  </w:style>
  <w:style w:type="character" w:customStyle="1" w:styleId="Heading2Char">
    <w:name w:val="Heading 2 Char"/>
    <w:link w:val="Heading2"/>
    <w:locked/>
    <w:rPr>
      <w:rFonts w:ascii="Calibri" w:eastAsia="MS Gothic" w:hAnsi="Calibri" w:cs="Times New Roman"/>
      <w:b/>
      <w:bCs/>
      <w:i/>
      <w:iCs/>
      <w:sz w:val="28"/>
      <w:szCs w:val="28"/>
    </w:rPr>
  </w:style>
  <w:style w:type="character" w:customStyle="1" w:styleId="Heading3Char">
    <w:name w:val="Heading 3 Char"/>
    <w:link w:val="Heading3"/>
    <w:semiHidden/>
    <w:locked/>
    <w:rPr>
      <w:rFonts w:ascii="Calibri" w:eastAsia="MS Gothic" w:hAnsi="Calibri" w:cs="Times New Roman"/>
      <w:b/>
      <w:bCs/>
      <w:sz w:val="26"/>
      <w:szCs w:val="26"/>
    </w:rPr>
  </w:style>
  <w:style w:type="character" w:customStyle="1" w:styleId="Heading4Char">
    <w:name w:val="Heading 4 Char"/>
    <w:link w:val="Heading4"/>
    <w:semiHidden/>
    <w:locked/>
    <w:rPr>
      <w:rFonts w:ascii="Cambria" w:eastAsia="MS Mincho" w:hAnsi="Cambria" w:cs="Times New Roman"/>
      <w:b/>
      <w:bCs/>
      <w:sz w:val="28"/>
      <w:szCs w:val="28"/>
    </w:rPr>
  </w:style>
  <w:style w:type="character" w:customStyle="1" w:styleId="Heading5Char">
    <w:name w:val="Heading 5 Char"/>
    <w:link w:val="Heading5"/>
    <w:semiHidden/>
    <w:locked/>
    <w:rPr>
      <w:rFonts w:ascii="Cambria" w:eastAsia="MS Mincho" w:hAnsi="Cambria" w:cs="Times New Roman"/>
      <w:b/>
      <w:bCs/>
      <w:i/>
      <w:iCs/>
      <w:sz w:val="26"/>
      <w:szCs w:val="26"/>
    </w:rPr>
  </w:style>
  <w:style w:type="character" w:customStyle="1" w:styleId="Heading6Char">
    <w:name w:val="Heading 6 Char"/>
    <w:link w:val="Heading6"/>
    <w:semiHidden/>
    <w:locked/>
    <w:rPr>
      <w:rFonts w:ascii="Cambria" w:eastAsia="MS Mincho" w:hAnsi="Cambria" w:cs="Times New Roman"/>
      <w:b/>
      <w:bCs/>
      <w:sz w:val="22"/>
      <w:szCs w:val="22"/>
    </w:rPr>
  </w:style>
  <w:style w:type="character" w:customStyle="1" w:styleId="Heading7Char">
    <w:name w:val="Heading 7 Char"/>
    <w:link w:val="Heading7"/>
    <w:semiHidden/>
    <w:locked/>
    <w:rPr>
      <w:rFonts w:ascii="Cambria" w:eastAsia="MS Mincho" w:hAnsi="Cambria" w:cs="Times New Roman"/>
      <w:sz w:val="24"/>
      <w:szCs w:val="24"/>
    </w:rPr>
  </w:style>
  <w:style w:type="character" w:customStyle="1" w:styleId="Heading8Char">
    <w:name w:val="Heading 8 Char"/>
    <w:link w:val="Heading8"/>
    <w:semiHidden/>
    <w:locked/>
    <w:rPr>
      <w:rFonts w:ascii="Cambria" w:eastAsia="MS Mincho" w:hAnsi="Cambria" w:cs="Times New Roman"/>
      <w:i/>
      <w:iCs/>
      <w:sz w:val="24"/>
      <w:szCs w:val="24"/>
    </w:rPr>
  </w:style>
  <w:style w:type="character" w:customStyle="1" w:styleId="Heading9Char">
    <w:name w:val="Heading 9 Char"/>
    <w:link w:val="Heading9"/>
    <w:semiHidden/>
    <w:locked/>
    <w:rPr>
      <w:rFonts w:ascii="Calibri" w:eastAsia="MS Gothic" w:hAnsi="Calibri" w:cs="Times New Roman"/>
      <w:sz w:val="22"/>
      <w:szCs w:val="22"/>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link w:val="Footer"/>
    <w:semiHidden/>
    <w:locked/>
    <w:rPr>
      <w:rFonts w:cs="Times New Roman"/>
      <w:sz w:val="24"/>
      <w:szCs w:val="24"/>
    </w:rPr>
  </w:style>
  <w:style w:type="paragraph" w:customStyle="1" w:styleId="p3">
    <w:name w:val="p3"/>
    <w:basedOn w:val="Normal"/>
    <w:pPr>
      <w:widowControl w:val="0"/>
      <w:tabs>
        <w:tab w:val="left" w:pos="663"/>
        <w:tab w:val="left" w:pos="1343"/>
      </w:tabs>
      <w:spacing w:line="289" w:lineRule="atLeast"/>
      <w:ind w:left="1343" w:hanging="680"/>
    </w:pPr>
    <w:rPr>
      <w:szCs w:val="20"/>
    </w:rPr>
  </w:style>
  <w:style w:type="paragraph" w:styleId="BodyTextIndent3">
    <w:name w:val="Body Text Indent 3"/>
    <w:basedOn w:val="Normal"/>
    <w:link w:val="BodyTextIndent3Char"/>
    <w:pPr>
      <w:ind w:left="990"/>
      <w:jc w:val="both"/>
    </w:pPr>
    <w:rPr>
      <w:szCs w:val="20"/>
    </w:rPr>
  </w:style>
  <w:style w:type="character" w:customStyle="1" w:styleId="BodyTextIndent3Char">
    <w:name w:val="Body Text Indent 3 Char"/>
    <w:link w:val="BodyTextIndent3"/>
    <w:semiHidden/>
    <w:locked/>
    <w:rPr>
      <w:rFonts w:cs="Times New Roman"/>
      <w:sz w:val="16"/>
      <w:szCs w:val="16"/>
    </w:rPr>
  </w:style>
  <w:style w:type="paragraph" w:styleId="BodyText">
    <w:name w:val="Body Text"/>
    <w:basedOn w:val="Normal"/>
    <w:link w:val="BodyTextChar"/>
    <w:rPr>
      <w:sz w:val="22"/>
    </w:rPr>
  </w:style>
  <w:style w:type="character" w:customStyle="1" w:styleId="BodyTextChar">
    <w:name w:val="Body Text Char"/>
    <w:link w:val="BodyText"/>
    <w:semiHidden/>
    <w:locked/>
    <w:rPr>
      <w:rFonts w:cs="Times New Roman"/>
      <w:sz w:val="24"/>
      <w:szCs w:val="24"/>
    </w:rPr>
  </w:style>
  <w:style w:type="character" w:styleId="PageNumber">
    <w:name w:val="page number"/>
    <w:rPr>
      <w:rFonts w:cs="Times New Roman"/>
    </w:rPr>
  </w:style>
  <w:style w:type="paragraph" w:styleId="BodyText2">
    <w:name w:val="Body Text 2"/>
    <w:basedOn w:val="Normal"/>
    <w:link w:val="BodyText2Char"/>
    <w:rPr>
      <w:rFonts w:ascii="Arial" w:hAnsi="Arial" w:cs="Arial"/>
      <w:color w:val="000000"/>
    </w:rPr>
  </w:style>
  <w:style w:type="character" w:customStyle="1" w:styleId="BodyText2Char">
    <w:name w:val="Body Text 2 Char"/>
    <w:link w:val="BodyText2"/>
    <w:semiHidden/>
    <w:locked/>
    <w:rPr>
      <w:rFonts w:cs="Times New Roman"/>
      <w:sz w:val="24"/>
      <w:szCs w:val="24"/>
    </w:rPr>
  </w:style>
  <w:style w:type="paragraph" w:styleId="Title">
    <w:name w:val="Title"/>
    <w:basedOn w:val="Normal"/>
    <w:link w:val="TitleChar"/>
    <w:qFormat/>
    <w:pPr>
      <w:jc w:val="center"/>
    </w:pPr>
    <w:rPr>
      <w:rFonts w:ascii="Arial" w:hAnsi="Arial"/>
      <w:b/>
      <w:sz w:val="32"/>
      <w:szCs w:val="20"/>
    </w:rPr>
  </w:style>
  <w:style w:type="character" w:customStyle="1" w:styleId="TitleChar">
    <w:name w:val="Title Char"/>
    <w:link w:val="Title"/>
    <w:locked/>
    <w:rPr>
      <w:rFonts w:ascii="Calibri" w:eastAsia="MS Gothic" w:hAnsi="Calibri" w:cs="Times New Roman"/>
      <w:b/>
      <w:bCs/>
      <w:kern w:val="28"/>
      <w:sz w:val="32"/>
      <w:szCs w:val="32"/>
    </w:rPr>
  </w:style>
  <w:style w:type="paragraph" w:styleId="MessageHeader">
    <w:name w:val="Message Header"/>
    <w:basedOn w:val="BodyText"/>
    <w:link w:val="MessageHeaderChar"/>
    <w:pPr>
      <w:keepLines/>
      <w:spacing w:after="40" w:line="140" w:lineRule="atLeast"/>
      <w:ind w:left="360"/>
    </w:pPr>
    <w:rPr>
      <w:rFonts w:ascii="Garamond" w:hAnsi="Garamond"/>
      <w:spacing w:val="-5"/>
      <w:sz w:val="24"/>
      <w:szCs w:val="20"/>
    </w:rPr>
  </w:style>
  <w:style w:type="character" w:customStyle="1" w:styleId="MessageHeaderChar">
    <w:name w:val="Message Header Char"/>
    <w:link w:val="MessageHeader"/>
    <w:semiHidden/>
    <w:locked/>
    <w:rPr>
      <w:rFonts w:ascii="Calibri" w:eastAsia="MS Gothic" w:hAnsi="Calibri" w:cs="Times New Roman"/>
      <w:sz w:val="24"/>
      <w:szCs w:val="24"/>
      <w:shd w:val="pct20" w:color="auto" w:fill="auto"/>
    </w:rPr>
  </w:style>
  <w:style w:type="paragraph" w:customStyle="1" w:styleId="MessageHeaderLabel">
    <w:name w:val="Message Header Label"/>
    <w:basedOn w:val="MessageHeader"/>
    <w:next w:val="MessageHeader"/>
    <w:pPr>
      <w:spacing w:before="40" w:after="0"/>
      <w:ind w:left="0"/>
    </w:pPr>
    <w:rPr>
      <w:caps/>
      <w:spacing w:val="6"/>
      <w:position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styleId="BodyText3">
    <w:name w:val="Body Text 3"/>
    <w:basedOn w:val="Normal"/>
    <w:link w:val="BodyText3Char"/>
    <w:rPr>
      <w:rFonts w:ascii="Arial Black" w:hAnsi="Arial Black"/>
      <w:sz w:val="18"/>
    </w:rPr>
  </w:style>
  <w:style w:type="character" w:customStyle="1" w:styleId="BodyText3Char">
    <w:name w:val="Body Text 3 Char"/>
    <w:link w:val="BodyText3"/>
    <w:semiHidden/>
    <w:locked/>
    <w:rPr>
      <w:rFonts w:cs="Times New Roman"/>
      <w:sz w:val="16"/>
      <w:szCs w:val="16"/>
    </w:rPr>
  </w:style>
  <w:style w:type="paragraph" w:styleId="BodyTextIndent2">
    <w:name w:val="Body Text Indent 2"/>
    <w:basedOn w:val="Normal"/>
    <w:link w:val="BodyTextIndent2Char"/>
    <w:pPr>
      <w:widowControl w:val="0"/>
      <w:tabs>
        <w:tab w:val="left" w:pos="-720"/>
        <w:tab w:val="left" w:pos="0"/>
      </w:tabs>
      <w:suppressAutoHyphens/>
      <w:ind w:left="720"/>
      <w:jc w:val="both"/>
    </w:pPr>
    <w:rPr>
      <w:spacing w:val="-3"/>
      <w:szCs w:val="20"/>
      <w:lang w:val="en-GB"/>
    </w:rPr>
  </w:style>
  <w:style w:type="character" w:customStyle="1" w:styleId="BodyTextIndent2Char">
    <w:name w:val="Body Text Indent 2 Char"/>
    <w:link w:val="BodyTextIndent2"/>
    <w:semiHidden/>
    <w:locked/>
    <w:rPr>
      <w:rFonts w:cs="Times New Roman"/>
      <w:sz w:val="24"/>
      <w:szCs w:val="24"/>
    </w:rPr>
  </w:style>
  <w:style w:type="paragraph" w:styleId="BodyTextIndent">
    <w:name w:val="Body Text Indent"/>
    <w:basedOn w:val="Normal"/>
    <w:link w:val="BodyTextIndentChar"/>
    <w:pPr>
      <w:spacing w:after="120"/>
      <w:ind w:left="252" w:hanging="252"/>
    </w:pPr>
    <w:rPr>
      <w:b/>
      <w:bCs/>
    </w:rPr>
  </w:style>
  <w:style w:type="character" w:customStyle="1" w:styleId="BodyTextIndentChar">
    <w:name w:val="Body Text Indent Char"/>
    <w:link w:val="BodyTextIndent"/>
    <w:semiHidden/>
    <w:locked/>
    <w:rPr>
      <w:rFonts w:cs="Times New Roman"/>
      <w:sz w:val="24"/>
      <w:szCs w:val="24"/>
    </w:rPr>
  </w:style>
  <w:style w:type="paragraph" w:customStyle="1" w:styleId="xl23">
    <w:name w:val="xl23"/>
    <w:basedOn w:val="Normal"/>
    <w:pPr>
      <w:spacing w:before="100" w:beforeAutospacing="1" w:after="100" w:afterAutospacing="1"/>
    </w:pPr>
    <w:rPr>
      <w:rFonts w:ascii="@Batang" w:eastAsia="@Batang" w:hAnsi="@Batang" w:cs="Arial Unicode MS"/>
      <w:b/>
      <w:bCs/>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pPr>
    <w:rPr>
      <w:rFonts w:ascii="@Batang" w:eastAsia="@Batang" w:hAnsi="@Batang" w:cs="Arial Unicode MS"/>
    </w:rPr>
  </w:style>
  <w:style w:type="paragraph" w:customStyle="1" w:styleId="xl25">
    <w:name w:val="xl25"/>
    <w:basedOn w:val="Normal"/>
    <w:pPr>
      <w:spacing w:before="100" w:beforeAutospacing="1" w:after="100" w:afterAutospacing="1"/>
    </w:pPr>
    <w:rPr>
      <w:rFonts w:ascii="@Batang" w:eastAsia="@Batang" w:hAnsi="@Batang" w:cs="Arial Unicode MS"/>
      <w:b/>
      <w:bCs/>
      <w:sz w:val="28"/>
      <w:szCs w:val="28"/>
      <w:u w:val="single"/>
    </w:rPr>
  </w:style>
  <w:style w:type="paragraph" w:styleId="List2">
    <w:name w:val="List 2"/>
    <w:basedOn w:val="Normal"/>
    <w:pPr>
      <w:ind w:left="720" w:hanging="36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semiHidden/>
    <w:locked/>
    <w:rPr>
      <w:rFonts w:cs="Times New Roman"/>
      <w:sz w:val="24"/>
      <w:szCs w:val="24"/>
    </w:rPr>
  </w:style>
  <w:style w:type="character" w:styleId="EndnoteReference">
    <w:name w:val="endnote reference"/>
    <w:semiHidden/>
    <w:rPr>
      <w:rFonts w:cs="Times New Roman"/>
      <w:vertAlign w:val="superscript"/>
    </w:rPr>
  </w:style>
  <w:style w:type="table" w:styleId="TableGrid">
    <w:name w:val="Table Grid"/>
    <w:basedOn w:val="TableNormal"/>
    <w:rsid w:val="005E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F1BEA"/>
    <w:rPr>
      <w:rFonts w:ascii="Tahoma" w:hAnsi="Tahoma" w:cs="Tahoma"/>
      <w:sz w:val="16"/>
      <w:szCs w:val="16"/>
    </w:rPr>
  </w:style>
  <w:style w:type="character" w:customStyle="1" w:styleId="BalloonTextChar">
    <w:name w:val="Balloon Text Char"/>
    <w:link w:val="BalloonText"/>
    <w:semiHidden/>
    <w:locked/>
    <w:rPr>
      <w:rFonts w:ascii="Lucida Grande" w:hAnsi="Lucida Grande" w:cs="Lucida Grande"/>
      <w:sz w:val="18"/>
      <w:szCs w:val="18"/>
    </w:rPr>
  </w:style>
  <w:style w:type="character" w:styleId="CommentReference">
    <w:name w:val="annotation reference"/>
    <w:semiHidden/>
    <w:rsid w:val="006C3A51"/>
    <w:rPr>
      <w:rFonts w:cs="Times New Roman"/>
      <w:sz w:val="16"/>
      <w:szCs w:val="16"/>
    </w:rPr>
  </w:style>
  <w:style w:type="paragraph" w:styleId="CommentText">
    <w:name w:val="annotation text"/>
    <w:basedOn w:val="Normal"/>
    <w:link w:val="CommentTextChar"/>
    <w:semiHidden/>
    <w:rsid w:val="006C3A51"/>
    <w:rPr>
      <w:sz w:val="20"/>
      <w:szCs w:val="20"/>
    </w:rPr>
  </w:style>
  <w:style w:type="character" w:customStyle="1" w:styleId="CommentTextChar">
    <w:name w:val="Comment Text Char"/>
    <w:link w:val="CommentText"/>
    <w:semiHidden/>
    <w:locked/>
    <w:rPr>
      <w:rFonts w:cs="Times New Roman"/>
      <w:sz w:val="24"/>
      <w:szCs w:val="24"/>
    </w:rPr>
  </w:style>
  <w:style w:type="paragraph" w:styleId="CommentSubject">
    <w:name w:val="annotation subject"/>
    <w:basedOn w:val="CommentText"/>
    <w:next w:val="CommentText"/>
    <w:link w:val="CommentSubjectChar"/>
    <w:semiHidden/>
    <w:rsid w:val="006C3A51"/>
    <w:rPr>
      <w:b/>
      <w:bCs/>
    </w:rPr>
  </w:style>
  <w:style w:type="character" w:customStyle="1" w:styleId="CommentSubjectChar">
    <w:name w:val="Comment Subject Char"/>
    <w:link w:val="CommentSubject"/>
    <w:semiHidden/>
    <w:locked/>
    <w:rPr>
      <w:rFonts w:cs="Times New Roman"/>
      <w:b/>
      <w:bCs/>
      <w:sz w:val="24"/>
      <w:szCs w:val="24"/>
    </w:rPr>
  </w:style>
  <w:style w:type="paragraph" w:styleId="DocumentMap">
    <w:name w:val="Document Map"/>
    <w:basedOn w:val="Normal"/>
    <w:link w:val="DocumentMapChar"/>
    <w:rsid w:val="00945210"/>
    <w:rPr>
      <w:rFonts w:ascii="Tahoma" w:hAnsi="Tahoma" w:cs="Tahoma"/>
      <w:sz w:val="16"/>
      <w:szCs w:val="16"/>
    </w:rPr>
  </w:style>
  <w:style w:type="character" w:customStyle="1" w:styleId="DocumentMapChar">
    <w:name w:val="Document Map Char"/>
    <w:link w:val="DocumentMap"/>
    <w:locked/>
    <w:rsid w:val="00945210"/>
    <w:rPr>
      <w:rFonts w:ascii="Tahoma" w:hAnsi="Tahoma" w:cs="Tahoma"/>
      <w:sz w:val="16"/>
      <w:szCs w:val="16"/>
      <w:lang w:val="en-US" w:eastAsia="en-US"/>
    </w:rPr>
  </w:style>
  <w:style w:type="paragraph" w:customStyle="1" w:styleId="ColorfulList-Accent11">
    <w:name w:val="Colorful List - Accent 11"/>
    <w:basedOn w:val="Normal"/>
    <w:qFormat/>
    <w:rsid w:val="00692DCD"/>
    <w:pPr>
      <w:spacing w:after="200" w:line="276" w:lineRule="auto"/>
      <w:ind w:left="720"/>
      <w:contextualSpacing/>
    </w:pPr>
    <w:rPr>
      <w:rFonts w:ascii="Arial" w:hAnsi="Arial"/>
      <w:sz w:val="20"/>
      <w:szCs w:val="22"/>
    </w:rPr>
  </w:style>
  <w:style w:type="paragraph" w:customStyle="1" w:styleId="Default">
    <w:name w:val="Default"/>
    <w:rsid w:val="003B3CCF"/>
    <w:pPr>
      <w:autoSpaceDE w:val="0"/>
      <w:autoSpaceDN w:val="0"/>
      <w:adjustRightInd w:val="0"/>
    </w:pPr>
    <w:rPr>
      <w:rFonts w:ascii="Arial" w:hAnsi="Arial" w:cs="Arial"/>
      <w:color w:val="000000"/>
      <w:sz w:val="24"/>
      <w:szCs w:val="24"/>
    </w:rPr>
  </w:style>
  <w:style w:type="paragraph" w:customStyle="1" w:styleId="siteuri1">
    <w:name w:val="siteuri1"/>
    <w:basedOn w:val="Normal"/>
    <w:rsid w:val="006C2195"/>
    <w:rPr>
      <w:rFonts w:ascii="Arial" w:hAnsi="Arial" w:cs="Arial"/>
      <w:sz w:val="26"/>
      <w:szCs w:val="26"/>
    </w:rPr>
  </w:style>
  <w:style w:type="character" w:styleId="HTMLCite">
    <w:name w:val="HTML Cite"/>
    <w:rsid w:val="006C2195"/>
    <w:rPr>
      <w:rFonts w:cs="Times New Roman"/>
      <w:color w:val="0E774A"/>
    </w:rPr>
  </w:style>
  <w:style w:type="paragraph" w:styleId="FootnoteText">
    <w:name w:val="footnote text"/>
    <w:basedOn w:val="Normal"/>
    <w:semiHidden/>
    <w:rsid w:val="0059360A"/>
    <w:rPr>
      <w:sz w:val="20"/>
      <w:szCs w:val="20"/>
    </w:rPr>
  </w:style>
  <w:style w:type="character" w:styleId="FootnoteReference">
    <w:name w:val="footnote reference"/>
    <w:semiHidden/>
    <w:rsid w:val="0059360A"/>
    <w:rPr>
      <w:rFonts w:cs="Times New Roman"/>
      <w:vertAlign w:val="superscript"/>
    </w:rPr>
  </w:style>
  <w:style w:type="character" w:customStyle="1" w:styleId="CharChar22">
    <w:name w:val="Char Char22"/>
    <w:semiHidden/>
    <w:locked/>
    <w:rsid w:val="00154174"/>
    <w:rPr>
      <w:rFonts w:ascii="Calibri" w:eastAsia="MS Gothic" w:hAnsi="Calibri" w:cs="Times New Roman"/>
      <w:b/>
      <w:bCs/>
      <w:i/>
      <w:iCs/>
      <w:sz w:val="28"/>
      <w:szCs w:val="28"/>
    </w:rPr>
  </w:style>
  <w:style w:type="character" w:customStyle="1" w:styleId="CharChar20">
    <w:name w:val="Char Char20"/>
    <w:semiHidden/>
    <w:locked/>
    <w:rsid w:val="00154174"/>
    <w:rPr>
      <w:rFonts w:ascii="Cambria" w:eastAsia="MS Mincho" w:hAnsi="Cambria" w:cs="Times New Roman"/>
      <w:b/>
      <w:bCs/>
      <w:sz w:val="28"/>
      <w:szCs w:val="28"/>
    </w:rPr>
  </w:style>
  <w:style w:type="paragraph" w:styleId="ListParagraph">
    <w:name w:val="List Paragraph"/>
    <w:basedOn w:val="Normal"/>
    <w:uiPriority w:val="34"/>
    <w:qFormat/>
    <w:rsid w:val="00722BA4"/>
    <w:pPr>
      <w:ind w:left="72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754"/>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special-access/drug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nada.ca/en/health-canada/services/drugs-health-products/medeffect-canada/adverse-reaction-reporting.html" TargetMode="External"/><Relationship Id="rId4" Type="http://schemas.openxmlformats.org/officeDocument/2006/relationships/settings" Target="settings.xml"/><Relationship Id="rId9" Type="http://schemas.openxmlformats.org/officeDocument/2006/relationships/hyperlink" Target="https://www.canada.ca/en/health-canada/services/drugs-health-products/access-drugs-exceptional-circumstances/list-drugs-urgent-public-health-nee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A606-A4FC-4A70-9966-92CEAE2F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3400</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1</vt:lpstr>
    </vt:vector>
  </TitlesOfParts>
  <Company>WRHA</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wrha</dc:creator>
  <cp:lastModifiedBy>Cathy Jacobson</cp:lastModifiedBy>
  <cp:revision>5</cp:revision>
  <cp:lastPrinted>2017-11-10T20:19:00Z</cp:lastPrinted>
  <dcterms:created xsi:type="dcterms:W3CDTF">2021-10-29T17:06:00Z</dcterms:created>
  <dcterms:modified xsi:type="dcterms:W3CDTF">2023-06-06T14:36:00Z</dcterms:modified>
</cp:coreProperties>
</file>