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EF" w:rsidRPr="00461BEF" w:rsidRDefault="00461BEF" w:rsidP="00461BEF">
      <w:pPr>
        <w:jc w:val="center"/>
        <w:rPr>
          <w:rStyle w:val="Hyperlink"/>
          <w:b/>
          <w:sz w:val="32"/>
          <w:szCs w:val="32"/>
        </w:rPr>
      </w:pPr>
      <w:r w:rsidRPr="00461BEF">
        <w:rPr>
          <w:b/>
          <w:sz w:val="32"/>
          <w:szCs w:val="32"/>
        </w:rPr>
        <w:t>PHN “To Do</w:t>
      </w:r>
      <w:r>
        <w:rPr>
          <w:b/>
          <w:sz w:val="32"/>
          <w:szCs w:val="32"/>
        </w:rPr>
        <w:t xml:space="preserve"> List</w:t>
      </w:r>
      <w:r w:rsidRPr="00461BEF">
        <w:rPr>
          <w:b/>
          <w:sz w:val="32"/>
          <w:szCs w:val="32"/>
        </w:rPr>
        <w:t>” for School Based Mass Clinics</w:t>
      </w:r>
    </w:p>
    <w:tbl>
      <w:tblPr>
        <w:tblStyle w:val="TableGrid"/>
        <w:tblW w:w="9370" w:type="dxa"/>
        <w:tblInd w:w="720" w:type="dxa"/>
        <w:tblLook w:val="04A0" w:firstRow="1" w:lastRow="0" w:firstColumn="1" w:lastColumn="0" w:noHBand="0" w:noVBand="1"/>
      </w:tblPr>
      <w:tblGrid>
        <w:gridCol w:w="6768"/>
        <w:gridCol w:w="1866"/>
        <w:gridCol w:w="736"/>
      </w:tblGrid>
      <w:tr w:rsidR="0090254C" w:rsidRPr="004F233E" w:rsidTr="00461BEF">
        <w:trPr>
          <w:trHeight w:val="476"/>
        </w:trPr>
        <w:tc>
          <w:tcPr>
            <w:tcW w:w="6768" w:type="dxa"/>
          </w:tcPr>
          <w:p w:rsidR="0090254C" w:rsidRPr="004F233E" w:rsidRDefault="0090254C" w:rsidP="002D27C1">
            <w:pPr>
              <w:jc w:val="center"/>
              <w:rPr>
                <w:sz w:val="24"/>
                <w:szCs w:val="24"/>
              </w:rPr>
            </w:pPr>
          </w:p>
        </w:tc>
        <w:tc>
          <w:tcPr>
            <w:tcW w:w="1866" w:type="dxa"/>
          </w:tcPr>
          <w:p w:rsidR="0090254C" w:rsidRPr="004F233E" w:rsidRDefault="0090254C" w:rsidP="002D27C1">
            <w:pPr>
              <w:jc w:val="center"/>
              <w:rPr>
                <w:sz w:val="24"/>
                <w:szCs w:val="24"/>
              </w:rPr>
            </w:pPr>
            <w:r w:rsidRPr="004F233E">
              <w:rPr>
                <w:sz w:val="24"/>
                <w:szCs w:val="24"/>
              </w:rPr>
              <w:t>QRC</w:t>
            </w:r>
          </w:p>
        </w:tc>
        <w:tc>
          <w:tcPr>
            <w:tcW w:w="736" w:type="dxa"/>
          </w:tcPr>
          <w:p w:rsidR="0090254C" w:rsidRPr="004F233E" w:rsidRDefault="0090254C" w:rsidP="002D27C1">
            <w:pPr>
              <w:jc w:val="center"/>
              <w:rPr>
                <w:sz w:val="24"/>
                <w:szCs w:val="24"/>
              </w:rPr>
            </w:pPr>
            <w:r w:rsidRPr="004F233E">
              <w:rPr>
                <w:sz w:val="24"/>
                <w:szCs w:val="24"/>
              </w:rPr>
              <w:t>Done</w:t>
            </w:r>
          </w:p>
        </w:tc>
      </w:tr>
      <w:tr w:rsidR="00C82794" w:rsidRPr="00461BEF" w:rsidTr="00461BEF">
        <w:trPr>
          <w:trHeight w:val="341"/>
        </w:trPr>
        <w:tc>
          <w:tcPr>
            <w:tcW w:w="6768" w:type="dxa"/>
          </w:tcPr>
          <w:p w:rsidR="00C82794" w:rsidRPr="00461BEF" w:rsidRDefault="00C82794" w:rsidP="002D27C1">
            <w:pPr>
              <w:rPr>
                <w:sz w:val="22"/>
                <w:szCs w:val="22"/>
              </w:rPr>
            </w:pPr>
            <w:r w:rsidRPr="00461BEF">
              <w:rPr>
                <w:sz w:val="22"/>
                <w:szCs w:val="22"/>
              </w:rPr>
              <w:t>Refer to</w:t>
            </w:r>
            <w:r w:rsidR="00EA7879">
              <w:rPr>
                <w:sz w:val="22"/>
                <w:szCs w:val="22"/>
              </w:rPr>
              <w:t xml:space="preserve"> http://www.phimsmb.ca</w:t>
            </w:r>
            <w:r w:rsidRPr="00461BEF">
              <w:rPr>
                <w:sz w:val="22"/>
                <w:szCs w:val="22"/>
              </w:rPr>
              <w:t xml:space="preserve"> to ensure you are following the current QRC. Changes can be made at any time.</w:t>
            </w:r>
          </w:p>
          <w:p w:rsidR="00C82794" w:rsidRPr="00461BEF" w:rsidRDefault="00C82794" w:rsidP="002D27C1">
            <w:pPr>
              <w:rPr>
                <w:sz w:val="22"/>
                <w:szCs w:val="22"/>
              </w:rPr>
            </w:pPr>
          </w:p>
        </w:tc>
        <w:tc>
          <w:tcPr>
            <w:tcW w:w="1866" w:type="dxa"/>
          </w:tcPr>
          <w:p w:rsidR="00C82794" w:rsidRPr="00461BEF" w:rsidRDefault="00C82794" w:rsidP="002D27C1">
            <w:pPr>
              <w:rPr>
                <w:sz w:val="22"/>
                <w:szCs w:val="22"/>
              </w:rPr>
            </w:pPr>
          </w:p>
        </w:tc>
        <w:tc>
          <w:tcPr>
            <w:tcW w:w="736" w:type="dxa"/>
          </w:tcPr>
          <w:p w:rsidR="00C82794" w:rsidRPr="00461BEF" w:rsidRDefault="00C82794" w:rsidP="002D27C1">
            <w:pPr>
              <w:rPr>
                <w:sz w:val="22"/>
                <w:szCs w:val="22"/>
              </w:rPr>
            </w:pPr>
          </w:p>
        </w:tc>
      </w:tr>
      <w:tr w:rsidR="0090254C" w:rsidRPr="00461BEF" w:rsidTr="00461BEF">
        <w:trPr>
          <w:trHeight w:val="341"/>
        </w:trPr>
        <w:tc>
          <w:tcPr>
            <w:tcW w:w="6768" w:type="dxa"/>
          </w:tcPr>
          <w:p w:rsidR="0090254C" w:rsidRPr="00461BEF" w:rsidRDefault="0090254C" w:rsidP="002D27C1">
            <w:pPr>
              <w:rPr>
                <w:sz w:val="22"/>
                <w:szCs w:val="22"/>
              </w:rPr>
            </w:pPr>
            <w:r w:rsidRPr="00461BEF">
              <w:rPr>
                <w:sz w:val="22"/>
                <w:szCs w:val="22"/>
              </w:rPr>
              <w:t xml:space="preserve">Ensure you are in Fire Fox </w:t>
            </w:r>
          </w:p>
        </w:tc>
        <w:tc>
          <w:tcPr>
            <w:tcW w:w="1866" w:type="dxa"/>
          </w:tcPr>
          <w:p w:rsidR="0090254C" w:rsidRPr="00461BEF" w:rsidRDefault="0090254C" w:rsidP="002D27C1">
            <w:pPr>
              <w:rPr>
                <w:sz w:val="22"/>
                <w:szCs w:val="22"/>
              </w:rPr>
            </w:pPr>
          </w:p>
        </w:tc>
        <w:tc>
          <w:tcPr>
            <w:tcW w:w="736" w:type="dxa"/>
          </w:tcPr>
          <w:p w:rsidR="0090254C" w:rsidRPr="00461BEF" w:rsidRDefault="0090254C" w:rsidP="002D27C1">
            <w:pPr>
              <w:rPr>
                <w:sz w:val="22"/>
                <w:szCs w:val="22"/>
              </w:rPr>
            </w:pPr>
          </w:p>
        </w:tc>
      </w:tr>
      <w:tr w:rsidR="0090254C" w:rsidRPr="00461BEF" w:rsidTr="00461BEF">
        <w:trPr>
          <w:trHeight w:val="1457"/>
        </w:trPr>
        <w:tc>
          <w:tcPr>
            <w:tcW w:w="6768" w:type="dxa"/>
          </w:tcPr>
          <w:p w:rsidR="0090254C" w:rsidRPr="00461BEF" w:rsidRDefault="00C82794" w:rsidP="002D27C1">
            <w:pPr>
              <w:rPr>
                <w:sz w:val="22"/>
                <w:szCs w:val="22"/>
              </w:rPr>
            </w:pPr>
            <w:r w:rsidRPr="00461BEF">
              <w:rPr>
                <w:sz w:val="22"/>
                <w:szCs w:val="22"/>
              </w:rPr>
              <w:t>PHN to r</w:t>
            </w:r>
            <w:r w:rsidR="0090254C" w:rsidRPr="00461BEF">
              <w:rPr>
                <w:sz w:val="22"/>
                <w:szCs w:val="22"/>
              </w:rPr>
              <w:t xml:space="preserve">eview all consents- </w:t>
            </w:r>
          </w:p>
          <w:p w:rsidR="00A70D51" w:rsidRPr="00461BEF" w:rsidRDefault="0090254C" w:rsidP="00A70D51">
            <w:pPr>
              <w:rPr>
                <w:sz w:val="22"/>
                <w:szCs w:val="22"/>
              </w:rPr>
            </w:pPr>
            <w:r w:rsidRPr="00461BEF">
              <w:rPr>
                <w:sz w:val="22"/>
                <w:szCs w:val="22"/>
              </w:rPr>
              <w:t xml:space="preserve">Add any warnings or special considerations with accompanying notes </w:t>
            </w:r>
          </w:p>
          <w:p w:rsidR="00461BEF" w:rsidRPr="00461BEF" w:rsidRDefault="00461BEF" w:rsidP="00A70D51">
            <w:pPr>
              <w:rPr>
                <w:sz w:val="22"/>
                <w:szCs w:val="22"/>
              </w:rPr>
            </w:pPr>
          </w:p>
          <w:p w:rsidR="00461BEF" w:rsidRPr="00461BEF" w:rsidRDefault="00461BEF" w:rsidP="00A70D51">
            <w:pPr>
              <w:rPr>
                <w:sz w:val="22"/>
                <w:szCs w:val="22"/>
              </w:rPr>
            </w:pPr>
          </w:p>
          <w:p w:rsidR="00461BEF" w:rsidRPr="00461BEF" w:rsidRDefault="00461BEF" w:rsidP="00A70D51">
            <w:pPr>
              <w:rPr>
                <w:sz w:val="22"/>
                <w:szCs w:val="22"/>
              </w:rPr>
            </w:pPr>
          </w:p>
          <w:p w:rsidR="00461BEF" w:rsidRPr="00461BEF" w:rsidRDefault="00461BEF" w:rsidP="00A70D51">
            <w:pPr>
              <w:rPr>
                <w:sz w:val="22"/>
                <w:szCs w:val="22"/>
              </w:rPr>
            </w:pPr>
          </w:p>
          <w:p w:rsidR="0090254C" w:rsidRPr="00461BEF" w:rsidRDefault="0090254C" w:rsidP="00A70D51">
            <w:pPr>
              <w:rPr>
                <w:sz w:val="22"/>
                <w:szCs w:val="22"/>
              </w:rPr>
            </w:pPr>
            <w:r w:rsidRPr="00461BEF">
              <w:rPr>
                <w:sz w:val="22"/>
                <w:szCs w:val="22"/>
              </w:rPr>
              <w:t xml:space="preserve">Delete any </w:t>
            </w:r>
            <w:r w:rsidR="00A70D51" w:rsidRPr="00461BEF">
              <w:rPr>
                <w:sz w:val="22"/>
                <w:szCs w:val="22"/>
              </w:rPr>
              <w:t>warnings (</w:t>
            </w:r>
            <w:proofErr w:type="spellStart"/>
            <w:r w:rsidR="00A70D51" w:rsidRPr="00461BEF">
              <w:rPr>
                <w:sz w:val="22"/>
                <w:szCs w:val="22"/>
              </w:rPr>
              <w:t>ie</w:t>
            </w:r>
            <w:proofErr w:type="spellEnd"/>
            <w:r w:rsidR="00A70D51" w:rsidRPr="00461BEF">
              <w:rPr>
                <w:sz w:val="22"/>
                <w:szCs w:val="22"/>
              </w:rPr>
              <w:t xml:space="preserve"> MIMs warnings) </w:t>
            </w:r>
            <w:r w:rsidRPr="00461BEF">
              <w:rPr>
                <w:sz w:val="22"/>
                <w:szCs w:val="22"/>
              </w:rPr>
              <w:t>that are not applicable- also</w:t>
            </w:r>
            <w:r w:rsidR="00A70D51" w:rsidRPr="00461BEF">
              <w:rPr>
                <w:sz w:val="22"/>
                <w:szCs w:val="22"/>
              </w:rPr>
              <w:t xml:space="preserve"> copy the warning into a note when a warning is deleted</w:t>
            </w:r>
          </w:p>
        </w:tc>
        <w:tc>
          <w:tcPr>
            <w:tcW w:w="1866" w:type="dxa"/>
          </w:tcPr>
          <w:p w:rsidR="0090254C" w:rsidRPr="00461BEF" w:rsidRDefault="0090254C" w:rsidP="002D27C1">
            <w:pPr>
              <w:rPr>
                <w:sz w:val="22"/>
                <w:szCs w:val="22"/>
              </w:rPr>
            </w:pPr>
            <w:r w:rsidRPr="00461BEF">
              <w:rPr>
                <w:sz w:val="22"/>
                <w:szCs w:val="22"/>
              </w:rPr>
              <w:t>1.6</w:t>
            </w:r>
          </w:p>
          <w:p w:rsidR="002E388D" w:rsidRDefault="002E388D" w:rsidP="002D27C1">
            <w:pPr>
              <w:rPr>
                <w:sz w:val="22"/>
                <w:szCs w:val="22"/>
              </w:rPr>
            </w:pPr>
            <w:r>
              <w:rPr>
                <w:sz w:val="22"/>
                <w:szCs w:val="22"/>
              </w:rPr>
              <w:t>3.20, 3.21 and  3.22</w:t>
            </w:r>
          </w:p>
          <w:p w:rsidR="0090254C" w:rsidRPr="00461BEF" w:rsidRDefault="0090254C" w:rsidP="002D27C1">
            <w:pPr>
              <w:rPr>
                <w:sz w:val="22"/>
                <w:szCs w:val="22"/>
              </w:rPr>
            </w:pPr>
          </w:p>
          <w:p w:rsidR="002E388D" w:rsidRDefault="002E388D" w:rsidP="002D27C1">
            <w:pPr>
              <w:rPr>
                <w:sz w:val="22"/>
                <w:szCs w:val="22"/>
              </w:rPr>
            </w:pPr>
          </w:p>
          <w:p w:rsidR="002E388D" w:rsidRDefault="002E388D" w:rsidP="002D27C1">
            <w:pPr>
              <w:rPr>
                <w:sz w:val="22"/>
                <w:szCs w:val="22"/>
              </w:rPr>
            </w:pPr>
          </w:p>
          <w:p w:rsidR="0090254C" w:rsidRPr="00461BEF" w:rsidRDefault="0090254C" w:rsidP="002D27C1">
            <w:pPr>
              <w:rPr>
                <w:sz w:val="22"/>
                <w:szCs w:val="22"/>
              </w:rPr>
            </w:pPr>
            <w:r w:rsidRPr="00461BEF">
              <w:rPr>
                <w:sz w:val="22"/>
                <w:szCs w:val="22"/>
              </w:rPr>
              <w:t>Tip sheet</w:t>
            </w:r>
          </w:p>
        </w:tc>
        <w:tc>
          <w:tcPr>
            <w:tcW w:w="736" w:type="dxa"/>
          </w:tcPr>
          <w:p w:rsidR="0090254C" w:rsidRPr="00461BEF" w:rsidRDefault="0090254C" w:rsidP="002D27C1">
            <w:pPr>
              <w:rPr>
                <w:sz w:val="22"/>
                <w:szCs w:val="22"/>
              </w:rPr>
            </w:pPr>
          </w:p>
        </w:tc>
      </w:tr>
      <w:tr w:rsidR="0090254C" w:rsidRPr="00461BEF" w:rsidTr="00461BEF">
        <w:trPr>
          <w:trHeight w:val="476"/>
        </w:trPr>
        <w:tc>
          <w:tcPr>
            <w:tcW w:w="6768" w:type="dxa"/>
          </w:tcPr>
          <w:p w:rsidR="0090254C" w:rsidRPr="00461BEF" w:rsidRDefault="0090254C" w:rsidP="002D27C1">
            <w:pPr>
              <w:rPr>
                <w:sz w:val="22"/>
                <w:szCs w:val="22"/>
              </w:rPr>
            </w:pPr>
            <w:r w:rsidRPr="00461BEF">
              <w:rPr>
                <w:sz w:val="22"/>
                <w:szCs w:val="22"/>
              </w:rPr>
              <w:t>Ensure that you are added in the event as a provider</w:t>
            </w:r>
            <w:r w:rsidR="00937327" w:rsidRPr="00461BEF">
              <w:rPr>
                <w:sz w:val="22"/>
                <w:szCs w:val="22"/>
              </w:rPr>
              <w:t xml:space="preserve"> (or you won’t be able to document)</w:t>
            </w:r>
          </w:p>
        </w:tc>
        <w:tc>
          <w:tcPr>
            <w:tcW w:w="1866" w:type="dxa"/>
          </w:tcPr>
          <w:p w:rsidR="0090254C" w:rsidRPr="00461BEF" w:rsidRDefault="0090254C" w:rsidP="002D27C1">
            <w:pPr>
              <w:rPr>
                <w:sz w:val="22"/>
                <w:szCs w:val="22"/>
              </w:rPr>
            </w:pPr>
            <w:r w:rsidRPr="00461BEF">
              <w:rPr>
                <w:sz w:val="22"/>
                <w:szCs w:val="22"/>
              </w:rPr>
              <w:t>3.5</w:t>
            </w:r>
          </w:p>
        </w:tc>
        <w:tc>
          <w:tcPr>
            <w:tcW w:w="736" w:type="dxa"/>
          </w:tcPr>
          <w:p w:rsidR="0090254C" w:rsidRPr="00461BEF" w:rsidRDefault="0090254C" w:rsidP="002D27C1">
            <w:pPr>
              <w:rPr>
                <w:sz w:val="22"/>
                <w:szCs w:val="22"/>
              </w:rPr>
            </w:pPr>
          </w:p>
        </w:tc>
      </w:tr>
      <w:tr w:rsidR="00C82794" w:rsidRPr="00461BEF" w:rsidTr="00461BEF">
        <w:trPr>
          <w:trHeight w:val="665"/>
        </w:trPr>
        <w:tc>
          <w:tcPr>
            <w:tcW w:w="6768" w:type="dxa"/>
          </w:tcPr>
          <w:p w:rsidR="00C82794" w:rsidRPr="00461BEF" w:rsidRDefault="00C82794" w:rsidP="005F3C25">
            <w:pPr>
              <w:rPr>
                <w:sz w:val="22"/>
                <w:szCs w:val="22"/>
              </w:rPr>
            </w:pPr>
            <w:r w:rsidRPr="00461BEF">
              <w:rPr>
                <w:sz w:val="22"/>
                <w:szCs w:val="22"/>
              </w:rPr>
              <w:t>Ensure the lot numbers are added to the event (or you won’t be able to document)</w:t>
            </w:r>
          </w:p>
        </w:tc>
        <w:tc>
          <w:tcPr>
            <w:tcW w:w="1866" w:type="dxa"/>
          </w:tcPr>
          <w:p w:rsidR="00C82794" w:rsidRPr="00461BEF" w:rsidRDefault="00C82794" w:rsidP="005F3C25">
            <w:pPr>
              <w:rPr>
                <w:sz w:val="22"/>
                <w:szCs w:val="22"/>
              </w:rPr>
            </w:pPr>
            <w:r w:rsidRPr="00461BEF">
              <w:rPr>
                <w:sz w:val="22"/>
                <w:szCs w:val="22"/>
              </w:rPr>
              <w:t>3.5</w:t>
            </w:r>
          </w:p>
        </w:tc>
        <w:tc>
          <w:tcPr>
            <w:tcW w:w="736" w:type="dxa"/>
          </w:tcPr>
          <w:p w:rsidR="00C82794" w:rsidRPr="00461BEF" w:rsidRDefault="00C82794" w:rsidP="002D27C1">
            <w:pPr>
              <w:rPr>
                <w:sz w:val="22"/>
                <w:szCs w:val="22"/>
              </w:rPr>
            </w:pPr>
          </w:p>
        </w:tc>
      </w:tr>
      <w:tr w:rsidR="00C82794" w:rsidRPr="00461BEF" w:rsidTr="00461BEF">
        <w:trPr>
          <w:trHeight w:val="665"/>
        </w:trPr>
        <w:tc>
          <w:tcPr>
            <w:tcW w:w="6768" w:type="dxa"/>
          </w:tcPr>
          <w:p w:rsidR="00C82794" w:rsidRPr="00461BEF" w:rsidRDefault="00C82794" w:rsidP="00937327">
            <w:pPr>
              <w:rPr>
                <w:sz w:val="22"/>
                <w:szCs w:val="22"/>
              </w:rPr>
            </w:pPr>
            <w:r w:rsidRPr="00461BEF">
              <w:rPr>
                <w:sz w:val="22"/>
                <w:szCs w:val="22"/>
              </w:rPr>
              <w:t>Add students not on the worksheet- add/update their occupation/language</w:t>
            </w:r>
          </w:p>
        </w:tc>
        <w:tc>
          <w:tcPr>
            <w:tcW w:w="1866" w:type="dxa"/>
          </w:tcPr>
          <w:p w:rsidR="00C82794" w:rsidRPr="00461BEF" w:rsidRDefault="00C82794" w:rsidP="002D27C1">
            <w:pPr>
              <w:rPr>
                <w:sz w:val="22"/>
                <w:szCs w:val="22"/>
              </w:rPr>
            </w:pPr>
            <w:r w:rsidRPr="00461BEF">
              <w:rPr>
                <w:sz w:val="22"/>
                <w:szCs w:val="22"/>
              </w:rPr>
              <w:t>3.7 &amp; 1.4</w:t>
            </w:r>
          </w:p>
        </w:tc>
        <w:tc>
          <w:tcPr>
            <w:tcW w:w="736" w:type="dxa"/>
          </w:tcPr>
          <w:p w:rsidR="00C82794" w:rsidRPr="00461BEF" w:rsidRDefault="00C82794" w:rsidP="002D27C1">
            <w:pPr>
              <w:rPr>
                <w:sz w:val="22"/>
                <w:szCs w:val="22"/>
              </w:rPr>
            </w:pPr>
          </w:p>
        </w:tc>
      </w:tr>
      <w:tr w:rsidR="00C82794" w:rsidRPr="00461BEF" w:rsidTr="00F84385">
        <w:trPr>
          <w:trHeight w:val="2645"/>
        </w:trPr>
        <w:tc>
          <w:tcPr>
            <w:tcW w:w="6768" w:type="dxa"/>
          </w:tcPr>
          <w:p w:rsidR="00C82794" w:rsidRPr="00461BEF" w:rsidRDefault="00C82794" w:rsidP="002D27C1">
            <w:pPr>
              <w:rPr>
                <w:sz w:val="22"/>
                <w:szCs w:val="22"/>
              </w:rPr>
            </w:pPr>
            <w:r w:rsidRPr="00461BEF">
              <w:rPr>
                <w:sz w:val="22"/>
                <w:szCs w:val="22"/>
              </w:rPr>
              <w:t>Grant consent for each vaccine</w:t>
            </w:r>
          </w:p>
          <w:p w:rsidR="00C82794" w:rsidRPr="00461BEF" w:rsidRDefault="00C82794" w:rsidP="00AA4634">
            <w:pPr>
              <w:pStyle w:val="ListParagraph"/>
              <w:numPr>
                <w:ilvl w:val="0"/>
                <w:numId w:val="8"/>
              </w:numPr>
              <w:rPr>
                <w:sz w:val="22"/>
                <w:szCs w:val="22"/>
              </w:rPr>
            </w:pPr>
            <w:r w:rsidRPr="00461BEF">
              <w:rPr>
                <w:sz w:val="22"/>
                <w:szCs w:val="22"/>
              </w:rPr>
              <w:t xml:space="preserve">Ensure all consents granted or refused  for </w:t>
            </w:r>
            <w:r w:rsidRPr="00461BEF">
              <w:rPr>
                <w:sz w:val="22"/>
                <w:szCs w:val="22"/>
                <w:u w:val="single"/>
              </w:rPr>
              <w:t>school based clinics</w:t>
            </w:r>
            <w:r w:rsidRPr="00461BEF">
              <w:rPr>
                <w:sz w:val="22"/>
                <w:szCs w:val="22"/>
              </w:rPr>
              <w:t xml:space="preserve"> are end dated for Aug.31 of the following year</w:t>
            </w:r>
          </w:p>
          <w:p w:rsidR="00C82794" w:rsidRPr="00461BEF" w:rsidRDefault="00C82794" w:rsidP="009454B1">
            <w:pPr>
              <w:pStyle w:val="ListParagraph"/>
              <w:numPr>
                <w:ilvl w:val="0"/>
                <w:numId w:val="8"/>
              </w:numPr>
              <w:rPr>
                <w:sz w:val="22"/>
                <w:szCs w:val="22"/>
              </w:rPr>
            </w:pPr>
            <w:r w:rsidRPr="00461BEF">
              <w:rPr>
                <w:sz w:val="22"/>
                <w:szCs w:val="22"/>
              </w:rPr>
              <w:t>Verbal consents must be documented individually</w:t>
            </w:r>
          </w:p>
          <w:p w:rsidR="00C82794" w:rsidRPr="00461BEF" w:rsidRDefault="00C82794" w:rsidP="000E0B2F">
            <w:pPr>
              <w:pStyle w:val="ListParagraph"/>
              <w:numPr>
                <w:ilvl w:val="0"/>
                <w:numId w:val="8"/>
              </w:numPr>
              <w:rPr>
                <w:rFonts w:asciiTheme="minorHAnsi" w:eastAsiaTheme="minorHAnsi" w:hAnsiTheme="minorHAnsi" w:cstheme="minorBidi"/>
                <w:sz w:val="22"/>
                <w:szCs w:val="22"/>
              </w:rPr>
            </w:pPr>
            <w:r w:rsidRPr="00461BEF">
              <w:rPr>
                <w:sz w:val="22"/>
                <w:szCs w:val="22"/>
              </w:rPr>
              <w:t>For all ‘NO’ consents, document as refused – remember a reason is required for all refused/no consents (</w:t>
            </w:r>
            <w:proofErr w:type="spellStart"/>
            <w:r w:rsidRPr="00461BEF">
              <w:rPr>
                <w:sz w:val="22"/>
                <w:szCs w:val="22"/>
              </w:rPr>
              <w:t>ie</w:t>
            </w:r>
            <w:proofErr w:type="spellEnd"/>
            <w:r w:rsidRPr="00461BEF">
              <w:rPr>
                <w:sz w:val="22"/>
                <w:szCs w:val="22"/>
              </w:rPr>
              <w:t>: if ‘no’ because child was previously immunized –this can be noted in the ‘comments’ section) It will be updated when you complete the event status (QRC 3.9)</w:t>
            </w:r>
          </w:p>
          <w:p w:rsidR="00C82794" w:rsidRPr="00461BEF" w:rsidRDefault="00C82794" w:rsidP="00AA4634">
            <w:pPr>
              <w:pStyle w:val="ListParagraph"/>
              <w:numPr>
                <w:ilvl w:val="0"/>
                <w:numId w:val="9"/>
              </w:numPr>
              <w:rPr>
                <w:sz w:val="22"/>
                <w:szCs w:val="22"/>
              </w:rPr>
            </w:pPr>
            <w:r w:rsidRPr="00461BEF">
              <w:rPr>
                <w:sz w:val="22"/>
                <w:szCs w:val="22"/>
              </w:rPr>
              <w:t>If consent is missing leave as missing</w:t>
            </w:r>
          </w:p>
        </w:tc>
        <w:tc>
          <w:tcPr>
            <w:tcW w:w="1866" w:type="dxa"/>
          </w:tcPr>
          <w:p w:rsidR="00C82794" w:rsidRPr="00461BEF" w:rsidRDefault="00C82794" w:rsidP="002D27C1">
            <w:pPr>
              <w:rPr>
                <w:sz w:val="22"/>
                <w:szCs w:val="22"/>
              </w:rPr>
            </w:pPr>
            <w:r w:rsidRPr="00461BEF">
              <w:rPr>
                <w:sz w:val="22"/>
                <w:szCs w:val="22"/>
              </w:rPr>
              <w:t>3.11</w:t>
            </w:r>
          </w:p>
          <w:p w:rsidR="00C82794" w:rsidRPr="00461BEF" w:rsidRDefault="00C82794" w:rsidP="002D27C1">
            <w:pPr>
              <w:rPr>
                <w:sz w:val="22"/>
                <w:szCs w:val="22"/>
              </w:rPr>
            </w:pPr>
          </w:p>
          <w:p w:rsidR="00461BEF" w:rsidRPr="00461BEF" w:rsidRDefault="00461BEF" w:rsidP="002D27C1">
            <w:pPr>
              <w:rPr>
                <w:sz w:val="22"/>
                <w:szCs w:val="22"/>
              </w:rPr>
            </w:pPr>
          </w:p>
          <w:p w:rsidR="00461BEF" w:rsidRPr="00461BEF" w:rsidRDefault="00461BEF" w:rsidP="002D27C1">
            <w:pPr>
              <w:rPr>
                <w:sz w:val="22"/>
                <w:szCs w:val="22"/>
              </w:rPr>
            </w:pPr>
            <w:r w:rsidRPr="00461BEF">
              <w:rPr>
                <w:sz w:val="22"/>
                <w:szCs w:val="22"/>
              </w:rPr>
              <w:t xml:space="preserve">1.7 ( for </w:t>
            </w:r>
            <w:proofErr w:type="spellStart"/>
            <w:r w:rsidRPr="00461BEF">
              <w:rPr>
                <w:sz w:val="22"/>
                <w:szCs w:val="22"/>
              </w:rPr>
              <w:t>ind</w:t>
            </w:r>
            <w:proofErr w:type="spellEnd"/>
            <w:r w:rsidRPr="00461BEF">
              <w:rPr>
                <w:sz w:val="22"/>
                <w:szCs w:val="22"/>
              </w:rPr>
              <w:t>)</w:t>
            </w:r>
          </w:p>
        </w:tc>
        <w:tc>
          <w:tcPr>
            <w:tcW w:w="736" w:type="dxa"/>
          </w:tcPr>
          <w:p w:rsidR="00C82794" w:rsidRPr="00461BEF" w:rsidRDefault="00C82794" w:rsidP="002D27C1">
            <w:pPr>
              <w:rPr>
                <w:sz w:val="22"/>
                <w:szCs w:val="22"/>
              </w:rPr>
            </w:pPr>
          </w:p>
        </w:tc>
        <w:bookmarkStart w:id="0" w:name="_GoBack"/>
        <w:bookmarkEnd w:id="0"/>
      </w:tr>
      <w:tr w:rsidR="00C82794" w:rsidRPr="00461BEF" w:rsidTr="00461BEF">
        <w:trPr>
          <w:trHeight w:val="476"/>
        </w:trPr>
        <w:tc>
          <w:tcPr>
            <w:tcW w:w="6768" w:type="dxa"/>
          </w:tcPr>
          <w:p w:rsidR="00C82794" w:rsidRPr="00461BEF" w:rsidRDefault="00C82794" w:rsidP="00F1458C">
            <w:pPr>
              <w:rPr>
                <w:sz w:val="22"/>
                <w:szCs w:val="22"/>
              </w:rPr>
            </w:pPr>
            <w:r w:rsidRPr="00461BEF">
              <w:rPr>
                <w:sz w:val="22"/>
                <w:szCs w:val="22"/>
              </w:rPr>
              <w:t>Schedule the forecaster to run 2 days prior to the clinic date or as early to the clinic as possible so as the Lead PHN you can review for any changes in forecast. Investigate all “not forecasted” clients. (* the forecaster is</w:t>
            </w:r>
            <w:r w:rsidR="00461BEF" w:rsidRPr="00461BEF">
              <w:rPr>
                <w:sz w:val="22"/>
                <w:szCs w:val="22"/>
              </w:rPr>
              <w:t xml:space="preserve"> found in the Events Set-up screen</w:t>
            </w:r>
            <w:r w:rsidRPr="00461BEF">
              <w:rPr>
                <w:sz w:val="22"/>
                <w:szCs w:val="22"/>
              </w:rPr>
              <w:t>)</w:t>
            </w:r>
          </w:p>
        </w:tc>
        <w:tc>
          <w:tcPr>
            <w:tcW w:w="1866" w:type="dxa"/>
          </w:tcPr>
          <w:p w:rsidR="00C82794" w:rsidRPr="00461BEF" w:rsidRDefault="00C82794" w:rsidP="00F1458C">
            <w:pPr>
              <w:rPr>
                <w:sz w:val="22"/>
                <w:szCs w:val="22"/>
              </w:rPr>
            </w:pPr>
            <w:r w:rsidRPr="00461BEF">
              <w:rPr>
                <w:sz w:val="22"/>
                <w:szCs w:val="22"/>
              </w:rPr>
              <w:t>3.6</w:t>
            </w:r>
          </w:p>
          <w:p w:rsidR="00C82794" w:rsidRPr="00461BEF" w:rsidRDefault="00C82794" w:rsidP="00F1458C">
            <w:pPr>
              <w:rPr>
                <w:sz w:val="22"/>
                <w:szCs w:val="22"/>
              </w:rPr>
            </w:pPr>
            <w:r w:rsidRPr="00461BEF">
              <w:rPr>
                <w:sz w:val="22"/>
                <w:szCs w:val="22"/>
              </w:rPr>
              <w:t xml:space="preserve"> “Not forecasted” tip sheet.</w:t>
            </w:r>
          </w:p>
        </w:tc>
        <w:tc>
          <w:tcPr>
            <w:tcW w:w="736" w:type="dxa"/>
          </w:tcPr>
          <w:p w:rsidR="00C82794" w:rsidRPr="00461BEF" w:rsidRDefault="00C82794" w:rsidP="002D27C1">
            <w:pPr>
              <w:rPr>
                <w:sz w:val="22"/>
                <w:szCs w:val="22"/>
              </w:rPr>
            </w:pPr>
          </w:p>
        </w:tc>
      </w:tr>
      <w:tr w:rsidR="00C82794" w:rsidRPr="00461BEF" w:rsidTr="00461BEF">
        <w:trPr>
          <w:trHeight w:val="476"/>
        </w:trPr>
        <w:tc>
          <w:tcPr>
            <w:tcW w:w="6768" w:type="dxa"/>
          </w:tcPr>
          <w:p w:rsidR="00C82794" w:rsidRPr="00461BEF" w:rsidRDefault="00C82794" w:rsidP="004F6BBF">
            <w:pPr>
              <w:rPr>
                <w:sz w:val="22"/>
                <w:szCs w:val="22"/>
              </w:rPr>
            </w:pPr>
            <w:r w:rsidRPr="00461BEF">
              <w:rPr>
                <w:sz w:val="22"/>
                <w:szCs w:val="22"/>
              </w:rPr>
              <w:t>Print the event worksheet once forecaster has been run prior to the immunization event to bring to the clinic</w:t>
            </w:r>
            <w:r w:rsidR="001D078F">
              <w:rPr>
                <w:sz w:val="22"/>
                <w:szCs w:val="22"/>
              </w:rPr>
              <w:t xml:space="preserve">. </w:t>
            </w:r>
            <w:r w:rsidR="00B13A7D">
              <w:rPr>
                <w:sz w:val="22"/>
                <w:szCs w:val="22"/>
              </w:rPr>
              <w:t xml:space="preserve"> </w:t>
            </w:r>
            <w:r w:rsidR="00AB3355">
              <w:rPr>
                <w:sz w:val="22"/>
                <w:szCs w:val="22"/>
              </w:rPr>
              <w:t xml:space="preserve">At the clinic, provide </w:t>
            </w:r>
            <w:r w:rsidR="00B13A7D">
              <w:rPr>
                <w:sz w:val="22"/>
                <w:szCs w:val="22"/>
              </w:rPr>
              <w:t>a</w:t>
            </w:r>
            <w:r w:rsidR="002E6775">
              <w:rPr>
                <w:sz w:val="22"/>
                <w:szCs w:val="22"/>
              </w:rPr>
              <w:t xml:space="preserve"> copy of the event worksheet </w:t>
            </w:r>
            <w:r w:rsidR="00AB3355">
              <w:rPr>
                <w:sz w:val="22"/>
                <w:szCs w:val="22"/>
              </w:rPr>
              <w:t>to</w:t>
            </w:r>
            <w:r w:rsidR="002E6775">
              <w:rPr>
                <w:sz w:val="22"/>
                <w:szCs w:val="22"/>
              </w:rPr>
              <w:t xml:space="preserve"> each immunizer</w:t>
            </w:r>
            <w:r w:rsidR="004F6BBF">
              <w:rPr>
                <w:sz w:val="22"/>
                <w:szCs w:val="22"/>
              </w:rPr>
              <w:t xml:space="preserve"> or copies for immunizers to share</w:t>
            </w:r>
            <w:r w:rsidR="002E6775">
              <w:rPr>
                <w:sz w:val="22"/>
                <w:szCs w:val="22"/>
              </w:rPr>
              <w:t xml:space="preserve">. Once the clinic is complete all copies should be gathered and placed in </w:t>
            </w:r>
            <w:r w:rsidR="001D078F">
              <w:rPr>
                <w:sz w:val="22"/>
                <w:szCs w:val="22"/>
              </w:rPr>
              <w:t xml:space="preserve">a </w:t>
            </w:r>
            <w:r w:rsidR="00F93E88">
              <w:rPr>
                <w:sz w:val="22"/>
                <w:szCs w:val="22"/>
              </w:rPr>
              <w:t xml:space="preserve">WRHA </w:t>
            </w:r>
            <w:r w:rsidR="002E6775">
              <w:rPr>
                <w:sz w:val="22"/>
                <w:szCs w:val="22"/>
              </w:rPr>
              <w:t>confidential recycling</w:t>
            </w:r>
            <w:r w:rsidR="001D078F">
              <w:rPr>
                <w:sz w:val="22"/>
                <w:szCs w:val="22"/>
              </w:rPr>
              <w:t xml:space="preserve"> bin at the CA office.</w:t>
            </w:r>
            <w:r w:rsidR="00180DAA">
              <w:rPr>
                <w:sz w:val="22"/>
                <w:szCs w:val="22"/>
              </w:rPr>
              <w:t xml:space="preserve"> </w:t>
            </w:r>
          </w:p>
        </w:tc>
        <w:tc>
          <w:tcPr>
            <w:tcW w:w="1866" w:type="dxa"/>
          </w:tcPr>
          <w:p w:rsidR="00C82794" w:rsidRPr="00461BEF" w:rsidRDefault="00C82794" w:rsidP="002D27C1">
            <w:pPr>
              <w:rPr>
                <w:sz w:val="22"/>
                <w:szCs w:val="22"/>
              </w:rPr>
            </w:pPr>
            <w:r w:rsidRPr="00461BEF">
              <w:rPr>
                <w:sz w:val="22"/>
                <w:szCs w:val="22"/>
              </w:rPr>
              <w:t>5.2</w:t>
            </w:r>
          </w:p>
        </w:tc>
        <w:tc>
          <w:tcPr>
            <w:tcW w:w="736" w:type="dxa"/>
          </w:tcPr>
          <w:p w:rsidR="00C82794" w:rsidRPr="00461BEF" w:rsidRDefault="00C82794" w:rsidP="002D27C1">
            <w:pPr>
              <w:rPr>
                <w:sz w:val="22"/>
                <w:szCs w:val="22"/>
              </w:rPr>
            </w:pPr>
          </w:p>
        </w:tc>
      </w:tr>
      <w:tr w:rsidR="00C82794" w:rsidRPr="00461BEF" w:rsidTr="00461BEF">
        <w:trPr>
          <w:trHeight w:val="476"/>
        </w:trPr>
        <w:tc>
          <w:tcPr>
            <w:tcW w:w="6768" w:type="dxa"/>
          </w:tcPr>
          <w:p w:rsidR="00C82794" w:rsidRPr="00461BEF" w:rsidRDefault="00C82794" w:rsidP="002D27C1">
            <w:pPr>
              <w:rPr>
                <w:sz w:val="22"/>
                <w:szCs w:val="22"/>
              </w:rPr>
            </w:pPr>
            <w:r w:rsidRPr="00461BEF">
              <w:rPr>
                <w:sz w:val="22"/>
                <w:szCs w:val="22"/>
              </w:rPr>
              <w:t xml:space="preserve">Record immunizations provided – </w:t>
            </w:r>
          </w:p>
          <w:p w:rsidR="00C82794" w:rsidRPr="00461BEF" w:rsidRDefault="00C82794" w:rsidP="00937327">
            <w:pPr>
              <w:rPr>
                <w:sz w:val="22"/>
                <w:szCs w:val="22"/>
              </w:rPr>
            </w:pPr>
            <w:r w:rsidRPr="00461BEF">
              <w:rPr>
                <w:sz w:val="22"/>
                <w:szCs w:val="22"/>
              </w:rPr>
              <w:t>Delayed entry Provider recorded  (for non-connected state)</w:t>
            </w:r>
          </w:p>
          <w:p w:rsidR="00C82794" w:rsidRPr="00461BEF" w:rsidRDefault="00C82794" w:rsidP="00937327">
            <w:pPr>
              <w:rPr>
                <w:sz w:val="22"/>
                <w:szCs w:val="22"/>
              </w:rPr>
            </w:pPr>
            <w:r w:rsidRPr="00461BEF">
              <w:rPr>
                <w:sz w:val="22"/>
                <w:szCs w:val="22"/>
              </w:rPr>
              <w:t>Direct entry Provider recorded (for connected state)</w:t>
            </w:r>
          </w:p>
        </w:tc>
        <w:tc>
          <w:tcPr>
            <w:tcW w:w="1866" w:type="dxa"/>
          </w:tcPr>
          <w:p w:rsidR="00C82794" w:rsidRPr="00461BEF" w:rsidRDefault="00C82794" w:rsidP="002D27C1">
            <w:pPr>
              <w:rPr>
                <w:sz w:val="22"/>
                <w:szCs w:val="22"/>
              </w:rPr>
            </w:pPr>
          </w:p>
          <w:p w:rsidR="00C82794" w:rsidRPr="00461BEF" w:rsidRDefault="00C82794" w:rsidP="002D27C1">
            <w:pPr>
              <w:rPr>
                <w:sz w:val="22"/>
                <w:szCs w:val="22"/>
              </w:rPr>
            </w:pPr>
            <w:r w:rsidRPr="00461BEF">
              <w:rPr>
                <w:sz w:val="22"/>
                <w:szCs w:val="22"/>
              </w:rPr>
              <w:t>3.14</w:t>
            </w:r>
          </w:p>
          <w:p w:rsidR="00C82794" w:rsidRPr="00461BEF" w:rsidRDefault="00C82794" w:rsidP="002D27C1">
            <w:pPr>
              <w:rPr>
                <w:sz w:val="22"/>
                <w:szCs w:val="22"/>
              </w:rPr>
            </w:pPr>
            <w:r w:rsidRPr="00461BEF">
              <w:rPr>
                <w:sz w:val="22"/>
                <w:szCs w:val="22"/>
              </w:rPr>
              <w:t>3.15</w:t>
            </w:r>
          </w:p>
        </w:tc>
        <w:tc>
          <w:tcPr>
            <w:tcW w:w="736" w:type="dxa"/>
          </w:tcPr>
          <w:p w:rsidR="00C82794" w:rsidRPr="00461BEF" w:rsidRDefault="00C82794" w:rsidP="002D27C1">
            <w:pPr>
              <w:rPr>
                <w:sz w:val="22"/>
                <w:szCs w:val="22"/>
              </w:rPr>
            </w:pPr>
          </w:p>
        </w:tc>
      </w:tr>
      <w:tr w:rsidR="00C82794" w:rsidRPr="00461BEF" w:rsidTr="00461BEF">
        <w:trPr>
          <w:trHeight w:val="476"/>
        </w:trPr>
        <w:tc>
          <w:tcPr>
            <w:tcW w:w="6768" w:type="dxa"/>
          </w:tcPr>
          <w:p w:rsidR="00C82794" w:rsidRPr="00461BEF" w:rsidRDefault="00C82794" w:rsidP="000E3189">
            <w:pPr>
              <w:rPr>
                <w:sz w:val="22"/>
                <w:szCs w:val="22"/>
              </w:rPr>
            </w:pPr>
            <w:r w:rsidRPr="00461BEF">
              <w:rPr>
                <w:sz w:val="22"/>
                <w:szCs w:val="22"/>
              </w:rPr>
              <w:t>Lead role PHN to be responsible for adding warnings, special consideration</w:t>
            </w:r>
            <w:r w:rsidR="000E3189">
              <w:rPr>
                <w:sz w:val="22"/>
                <w:szCs w:val="22"/>
              </w:rPr>
              <w:t>s and notes</w:t>
            </w:r>
            <w:r w:rsidRPr="00461BEF">
              <w:rPr>
                <w:sz w:val="22"/>
                <w:szCs w:val="22"/>
              </w:rPr>
              <w:t xml:space="preserve"> which occur during the </w:t>
            </w:r>
            <w:r w:rsidR="000E3189">
              <w:rPr>
                <w:sz w:val="22"/>
                <w:szCs w:val="22"/>
              </w:rPr>
              <w:t>clinics</w:t>
            </w:r>
          </w:p>
        </w:tc>
        <w:tc>
          <w:tcPr>
            <w:tcW w:w="1866" w:type="dxa"/>
          </w:tcPr>
          <w:p w:rsidR="00C82794" w:rsidRPr="00461BEF" w:rsidRDefault="000E3189" w:rsidP="000E3189">
            <w:pPr>
              <w:rPr>
                <w:sz w:val="22"/>
                <w:szCs w:val="22"/>
              </w:rPr>
            </w:pPr>
            <w:r>
              <w:rPr>
                <w:sz w:val="22"/>
                <w:szCs w:val="22"/>
              </w:rPr>
              <w:t>3.20, 3.21 and  3.22</w:t>
            </w:r>
          </w:p>
        </w:tc>
        <w:tc>
          <w:tcPr>
            <w:tcW w:w="736" w:type="dxa"/>
          </w:tcPr>
          <w:p w:rsidR="00C82794" w:rsidRPr="00461BEF" w:rsidRDefault="00C82794" w:rsidP="002D27C1">
            <w:pPr>
              <w:rPr>
                <w:sz w:val="22"/>
                <w:szCs w:val="22"/>
              </w:rPr>
            </w:pPr>
          </w:p>
        </w:tc>
      </w:tr>
      <w:tr w:rsidR="00C82794" w:rsidRPr="00461BEF" w:rsidTr="00461BEF">
        <w:trPr>
          <w:trHeight w:val="341"/>
        </w:trPr>
        <w:tc>
          <w:tcPr>
            <w:tcW w:w="6768" w:type="dxa"/>
          </w:tcPr>
          <w:p w:rsidR="00C82794" w:rsidRPr="00461BEF" w:rsidRDefault="00C82794" w:rsidP="00461BEF">
            <w:pPr>
              <w:rPr>
                <w:sz w:val="22"/>
                <w:szCs w:val="22"/>
              </w:rPr>
            </w:pPr>
            <w:r w:rsidRPr="00461BEF">
              <w:rPr>
                <w:sz w:val="22"/>
                <w:szCs w:val="22"/>
              </w:rPr>
              <w:t xml:space="preserve">Update the event status </w:t>
            </w:r>
          </w:p>
        </w:tc>
        <w:tc>
          <w:tcPr>
            <w:tcW w:w="1866" w:type="dxa"/>
          </w:tcPr>
          <w:p w:rsidR="00C82794" w:rsidRPr="00461BEF" w:rsidRDefault="00C82794" w:rsidP="002D27C1">
            <w:pPr>
              <w:rPr>
                <w:sz w:val="22"/>
                <w:szCs w:val="22"/>
              </w:rPr>
            </w:pPr>
            <w:r w:rsidRPr="00461BEF">
              <w:rPr>
                <w:sz w:val="22"/>
                <w:szCs w:val="22"/>
              </w:rPr>
              <w:t>3.9</w:t>
            </w:r>
          </w:p>
        </w:tc>
        <w:tc>
          <w:tcPr>
            <w:tcW w:w="736" w:type="dxa"/>
          </w:tcPr>
          <w:p w:rsidR="00C82794" w:rsidRPr="00461BEF" w:rsidRDefault="00C82794" w:rsidP="002D27C1">
            <w:pPr>
              <w:rPr>
                <w:sz w:val="22"/>
                <w:szCs w:val="22"/>
              </w:rPr>
            </w:pPr>
          </w:p>
        </w:tc>
      </w:tr>
      <w:tr w:rsidR="00C82794" w:rsidRPr="00461BEF" w:rsidTr="00461BEF">
        <w:trPr>
          <w:trHeight w:val="476"/>
        </w:trPr>
        <w:tc>
          <w:tcPr>
            <w:tcW w:w="6768" w:type="dxa"/>
          </w:tcPr>
          <w:p w:rsidR="00C82794" w:rsidRPr="00461BEF" w:rsidRDefault="00C82794" w:rsidP="00C23414">
            <w:pPr>
              <w:jc w:val="right"/>
              <w:rPr>
                <w:sz w:val="22"/>
                <w:szCs w:val="22"/>
              </w:rPr>
            </w:pPr>
            <w:r w:rsidRPr="00461BEF">
              <w:rPr>
                <w:sz w:val="22"/>
                <w:szCs w:val="22"/>
              </w:rPr>
              <w:t>Print and review</w:t>
            </w:r>
            <w:r w:rsidR="00C23414">
              <w:rPr>
                <w:sz w:val="22"/>
                <w:szCs w:val="22"/>
              </w:rPr>
              <w:t xml:space="preserve"> Event R</w:t>
            </w:r>
            <w:r w:rsidRPr="00461BEF">
              <w:rPr>
                <w:sz w:val="22"/>
                <w:szCs w:val="22"/>
              </w:rPr>
              <w:t xml:space="preserve">eport once all documentation is completed (ideally within </w:t>
            </w:r>
            <w:r w:rsidR="003A577D">
              <w:rPr>
                <w:sz w:val="22"/>
                <w:szCs w:val="22"/>
              </w:rPr>
              <w:t xml:space="preserve">2 </w:t>
            </w:r>
            <w:r w:rsidRPr="00461BEF">
              <w:rPr>
                <w:sz w:val="22"/>
                <w:szCs w:val="22"/>
              </w:rPr>
              <w:t>week</w:t>
            </w:r>
            <w:r w:rsidR="003A577D">
              <w:rPr>
                <w:sz w:val="22"/>
                <w:szCs w:val="22"/>
              </w:rPr>
              <w:t>s</w:t>
            </w:r>
            <w:r w:rsidRPr="00461BEF">
              <w:rPr>
                <w:sz w:val="22"/>
                <w:szCs w:val="22"/>
              </w:rPr>
              <w:t xml:space="preserve"> of the clinic)</w:t>
            </w:r>
          </w:p>
        </w:tc>
        <w:tc>
          <w:tcPr>
            <w:tcW w:w="1866" w:type="dxa"/>
          </w:tcPr>
          <w:p w:rsidR="00C82794" w:rsidRPr="00461BEF" w:rsidRDefault="00C82794" w:rsidP="002D27C1">
            <w:pPr>
              <w:rPr>
                <w:sz w:val="22"/>
                <w:szCs w:val="22"/>
              </w:rPr>
            </w:pPr>
            <w:r w:rsidRPr="00461BEF">
              <w:rPr>
                <w:sz w:val="22"/>
                <w:szCs w:val="22"/>
              </w:rPr>
              <w:t>5.2</w:t>
            </w:r>
          </w:p>
        </w:tc>
        <w:tc>
          <w:tcPr>
            <w:tcW w:w="736" w:type="dxa"/>
          </w:tcPr>
          <w:p w:rsidR="00C82794" w:rsidRPr="00461BEF" w:rsidRDefault="00C82794" w:rsidP="002D27C1">
            <w:pPr>
              <w:rPr>
                <w:sz w:val="22"/>
                <w:szCs w:val="22"/>
              </w:rPr>
            </w:pPr>
          </w:p>
        </w:tc>
      </w:tr>
      <w:tr w:rsidR="00C82794" w:rsidRPr="00461BEF" w:rsidTr="00617FA4">
        <w:trPr>
          <w:trHeight w:val="242"/>
        </w:trPr>
        <w:tc>
          <w:tcPr>
            <w:tcW w:w="6768" w:type="dxa"/>
          </w:tcPr>
          <w:p w:rsidR="00617FA4" w:rsidRPr="00461BEF" w:rsidRDefault="00461BEF" w:rsidP="00461BEF">
            <w:pPr>
              <w:rPr>
                <w:sz w:val="22"/>
                <w:szCs w:val="22"/>
              </w:rPr>
            </w:pPr>
            <w:r w:rsidRPr="00461BEF">
              <w:rPr>
                <w:sz w:val="22"/>
                <w:szCs w:val="22"/>
              </w:rPr>
              <w:t xml:space="preserve">Advise the clerk to </w:t>
            </w:r>
            <w:r w:rsidR="00617FA4">
              <w:rPr>
                <w:sz w:val="22"/>
                <w:szCs w:val="22"/>
              </w:rPr>
              <w:t>close the event</w:t>
            </w:r>
          </w:p>
        </w:tc>
        <w:tc>
          <w:tcPr>
            <w:tcW w:w="1866" w:type="dxa"/>
          </w:tcPr>
          <w:p w:rsidR="00C82794" w:rsidRPr="00461BEF" w:rsidRDefault="00C82794" w:rsidP="002D27C1">
            <w:pPr>
              <w:rPr>
                <w:sz w:val="22"/>
                <w:szCs w:val="22"/>
              </w:rPr>
            </w:pPr>
            <w:r w:rsidRPr="00461BEF">
              <w:rPr>
                <w:sz w:val="22"/>
                <w:szCs w:val="22"/>
              </w:rPr>
              <w:t>3.18</w:t>
            </w:r>
          </w:p>
        </w:tc>
        <w:tc>
          <w:tcPr>
            <w:tcW w:w="736" w:type="dxa"/>
          </w:tcPr>
          <w:p w:rsidR="00C82794" w:rsidRPr="00461BEF" w:rsidRDefault="00C82794" w:rsidP="002D27C1">
            <w:pPr>
              <w:rPr>
                <w:sz w:val="22"/>
                <w:szCs w:val="22"/>
              </w:rPr>
            </w:pPr>
          </w:p>
        </w:tc>
      </w:tr>
    </w:tbl>
    <w:p w:rsidR="00EB5551" w:rsidRPr="00461BEF" w:rsidRDefault="00EB5551" w:rsidP="00617FA4"/>
    <w:sectPr w:rsidR="00EB5551" w:rsidRPr="00461BEF" w:rsidSect="001916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2F" w:rsidRDefault="000E0B2F" w:rsidP="000E0B2F">
      <w:pPr>
        <w:spacing w:after="0" w:line="240" w:lineRule="auto"/>
      </w:pPr>
      <w:r>
        <w:separator/>
      </w:r>
    </w:p>
  </w:endnote>
  <w:endnote w:type="continuationSeparator" w:id="0">
    <w:p w:rsidR="000E0B2F" w:rsidRDefault="000E0B2F" w:rsidP="000E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2F" w:rsidRPr="00DA6B5D" w:rsidRDefault="003A577D" w:rsidP="00DA6B5D">
    <w:pPr>
      <w:pStyle w:val="Footer"/>
    </w:pPr>
    <w:r>
      <w:t>September</w:t>
    </w:r>
    <w:r w:rsidR="00C675CF">
      <w:t xml:space="preserve">, </w:t>
    </w:r>
    <w:r w:rsidR="00D5349F">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2F" w:rsidRDefault="000E0B2F" w:rsidP="000E0B2F">
      <w:pPr>
        <w:spacing w:after="0" w:line="240" w:lineRule="auto"/>
      </w:pPr>
      <w:r>
        <w:separator/>
      </w:r>
    </w:p>
  </w:footnote>
  <w:footnote w:type="continuationSeparator" w:id="0">
    <w:p w:rsidR="000E0B2F" w:rsidRDefault="000E0B2F" w:rsidP="000E0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1D4"/>
    <w:multiLevelType w:val="hybridMultilevel"/>
    <w:tmpl w:val="998A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C5322"/>
    <w:multiLevelType w:val="hybridMultilevel"/>
    <w:tmpl w:val="77C4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F132E"/>
    <w:multiLevelType w:val="hybridMultilevel"/>
    <w:tmpl w:val="0006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F3E25"/>
    <w:multiLevelType w:val="hybridMultilevel"/>
    <w:tmpl w:val="A73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72A19"/>
    <w:multiLevelType w:val="hybridMultilevel"/>
    <w:tmpl w:val="BB0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669AD"/>
    <w:multiLevelType w:val="hybridMultilevel"/>
    <w:tmpl w:val="A1C8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816AA"/>
    <w:multiLevelType w:val="hybridMultilevel"/>
    <w:tmpl w:val="8C229D1E"/>
    <w:lvl w:ilvl="0" w:tplc="3BAA4E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B27B5"/>
    <w:multiLevelType w:val="hybridMultilevel"/>
    <w:tmpl w:val="EB0C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E51A9"/>
    <w:multiLevelType w:val="hybridMultilevel"/>
    <w:tmpl w:val="4A7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2E"/>
    <w:rsid w:val="0005698E"/>
    <w:rsid w:val="000730FB"/>
    <w:rsid w:val="000E0B2F"/>
    <w:rsid w:val="000E3189"/>
    <w:rsid w:val="0013436F"/>
    <w:rsid w:val="00180DAA"/>
    <w:rsid w:val="00191628"/>
    <w:rsid w:val="001D078F"/>
    <w:rsid w:val="00252DF1"/>
    <w:rsid w:val="002E388D"/>
    <w:rsid w:val="002E50DE"/>
    <w:rsid w:val="002E6775"/>
    <w:rsid w:val="0039318A"/>
    <w:rsid w:val="003A577D"/>
    <w:rsid w:val="00445A91"/>
    <w:rsid w:val="00461BEF"/>
    <w:rsid w:val="004F233E"/>
    <w:rsid w:val="004F6BBF"/>
    <w:rsid w:val="0050562E"/>
    <w:rsid w:val="005170B6"/>
    <w:rsid w:val="00594775"/>
    <w:rsid w:val="00607E16"/>
    <w:rsid w:val="00617FA4"/>
    <w:rsid w:val="00752910"/>
    <w:rsid w:val="00757B82"/>
    <w:rsid w:val="007772A0"/>
    <w:rsid w:val="007968AF"/>
    <w:rsid w:val="00850EC3"/>
    <w:rsid w:val="008558B8"/>
    <w:rsid w:val="008959FE"/>
    <w:rsid w:val="008B2448"/>
    <w:rsid w:val="0090254C"/>
    <w:rsid w:val="00915DDA"/>
    <w:rsid w:val="00937327"/>
    <w:rsid w:val="009454B1"/>
    <w:rsid w:val="00A272AC"/>
    <w:rsid w:val="00A62E9F"/>
    <w:rsid w:val="00A70D51"/>
    <w:rsid w:val="00AA4634"/>
    <w:rsid w:val="00AB3355"/>
    <w:rsid w:val="00AD7C23"/>
    <w:rsid w:val="00B13A7D"/>
    <w:rsid w:val="00BA4FF3"/>
    <w:rsid w:val="00BB219B"/>
    <w:rsid w:val="00BB4994"/>
    <w:rsid w:val="00C23414"/>
    <w:rsid w:val="00C26CE5"/>
    <w:rsid w:val="00C419E1"/>
    <w:rsid w:val="00C675CF"/>
    <w:rsid w:val="00C82794"/>
    <w:rsid w:val="00C865B9"/>
    <w:rsid w:val="00C9079E"/>
    <w:rsid w:val="00CB382B"/>
    <w:rsid w:val="00CB3A6C"/>
    <w:rsid w:val="00CE21B4"/>
    <w:rsid w:val="00D231C8"/>
    <w:rsid w:val="00D27CCE"/>
    <w:rsid w:val="00D5349F"/>
    <w:rsid w:val="00D64B8F"/>
    <w:rsid w:val="00DA3D16"/>
    <w:rsid w:val="00DA6B5D"/>
    <w:rsid w:val="00E111C7"/>
    <w:rsid w:val="00E41B16"/>
    <w:rsid w:val="00E7160A"/>
    <w:rsid w:val="00EA3652"/>
    <w:rsid w:val="00EA3667"/>
    <w:rsid w:val="00EA7879"/>
    <w:rsid w:val="00EB5551"/>
    <w:rsid w:val="00ED3A77"/>
    <w:rsid w:val="00F0102C"/>
    <w:rsid w:val="00F15779"/>
    <w:rsid w:val="00F31DB6"/>
    <w:rsid w:val="00F41D2F"/>
    <w:rsid w:val="00F84385"/>
    <w:rsid w:val="00F868E7"/>
    <w:rsid w:val="00F93E88"/>
    <w:rsid w:val="00FB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51"/>
    <w:pPr>
      <w:ind w:left="720"/>
      <w:contextualSpacing/>
    </w:pPr>
  </w:style>
  <w:style w:type="table" w:styleId="TableGrid">
    <w:name w:val="Table Grid"/>
    <w:basedOn w:val="TableNormal"/>
    <w:rsid w:val="00EB55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959FE"/>
    <w:pPr>
      <w:widowControl w:val="0"/>
      <w:tabs>
        <w:tab w:val="left" w:pos="-720"/>
        <w:tab w:val="left" w:pos="0"/>
      </w:tabs>
      <w:suppressAutoHyphens/>
      <w:spacing w:after="0" w:line="240" w:lineRule="auto"/>
      <w:ind w:left="720"/>
      <w:jc w:val="both"/>
    </w:pPr>
    <w:rPr>
      <w:rFonts w:ascii="Times New Roman" w:eastAsia="Times New Roman" w:hAnsi="Times New Roman" w:cs="Times New Roman"/>
      <w:spacing w:val="-3"/>
      <w:sz w:val="24"/>
      <w:szCs w:val="20"/>
      <w:lang w:val="en-GB"/>
    </w:rPr>
  </w:style>
  <w:style w:type="character" w:customStyle="1" w:styleId="BodyTextIndent2Char">
    <w:name w:val="Body Text Indent 2 Char"/>
    <w:basedOn w:val="DefaultParagraphFont"/>
    <w:link w:val="BodyTextIndent2"/>
    <w:rsid w:val="008959FE"/>
    <w:rPr>
      <w:rFonts w:ascii="Times New Roman" w:eastAsia="Times New Roman" w:hAnsi="Times New Roman" w:cs="Times New Roman"/>
      <w:spacing w:val="-3"/>
      <w:sz w:val="24"/>
      <w:szCs w:val="20"/>
      <w:lang w:val="en-GB"/>
    </w:rPr>
  </w:style>
  <w:style w:type="paragraph" w:styleId="BalloonText">
    <w:name w:val="Balloon Text"/>
    <w:basedOn w:val="Normal"/>
    <w:link w:val="BalloonTextChar"/>
    <w:uiPriority w:val="99"/>
    <w:semiHidden/>
    <w:unhideWhenUsed/>
    <w:rsid w:val="0005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8E"/>
    <w:rPr>
      <w:rFonts w:ascii="Tahoma" w:hAnsi="Tahoma" w:cs="Tahoma"/>
      <w:sz w:val="16"/>
      <w:szCs w:val="16"/>
    </w:rPr>
  </w:style>
  <w:style w:type="character" w:styleId="Hyperlink">
    <w:name w:val="Hyperlink"/>
    <w:basedOn w:val="DefaultParagraphFont"/>
    <w:uiPriority w:val="99"/>
    <w:unhideWhenUsed/>
    <w:rsid w:val="00ED3A77"/>
    <w:rPr>
      <w:color w:val="0000FF" w:themeColor="hyperlink"/>
      <w:u w:val="single"/>
    </w:rPr>
  </w:style>
  <w:style w:type="character" w:styleId="FollowedHyperlink">
    <w:name w:val="FollowedHyperlink"/>
    <w:basedOn w:val="DefaultParagraphFont"/>
    <w:uiPriority w:val="99"/>
    <w:semiHidden/>
    <w:unhideWhenUsed/>
    <w:rsid w:val="00F41D2F"/>
    <w:rPr>
      <w:color w:val="800080" w:themeColor="followedHyperlink"/>
      <w:u w:val="single"/>
    </w:rPr>
  </w:style>
  <w:style w:type="paragraph" w:styleId="Header">
    <w:name w:val="header"/>
    <w:basedOn w:val="Normal"/>
    <w:link w:val="HeaderChar"/>
    <w:uiPriority w:val="99"/>
    <w:unhideWhenUsed/>
    <w:rsid w:val="000E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2F"/>
  </w:style>
  <w:style w:type="paragraph" w:styleId="Footer">
    <w:name w:val="footer"/>
    <w:basedOn w:val="Normal"/>
    <w:link w:val="FooterChar"/>
    <w:uiPriority w:val="99"/>
    <w:unhideWhenUsed/>
    <w:rsid w:val="000E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51"/>
    <w:pPr>
      <w:ind w:left="720"/>
      <w:contextualSpacing/>
    </w:pPr>
  </w:style>
  <w:style w:type="table" w:styleId="TableGrid">
    <w:name w:val="Table Grid"/>
    <w:basedOn w:val="TableNormal"/>
    <w:rsid w:val="00EB55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959FE"/>
    <w:pPr>
      <w:widowControl w:val="0"/>
      <w:tabs>
        <w:tab w:val="left" w:pos="-720"/>
        <w:tab w:val="left" w:pos="0"/>
      </w:tabs>
      <w:suppressAutoHyphens/>
      <w:spacing w:after="0" w:line="240" w:lineRule="auto"/>
      <w:ind w:left="720"/>
      <w:jc w:val="both"/>
    </w:pPr>
    <w:rPr>
      <w:rFonts w:ascii="Times New Roman" w:eastAsia="Times New Roman" w:hAnsi="Times New Roman" w:cs="Times New Roman"/>
      <w:spacing w:val="-3"/>
      <w:sz w:val="24"/>
      <w:szCs w:val="20"/>
      <w:lang w:val="en-GB"/>
    </w:rPr>
  </w:style>
  <w:style w:type="character" w:customStyle="1" w:styleId="BodyTextIndent2Char">
    <w:name w:val="Body Text Indent 2 Char"/>
    <w:basedOn w:val="DefaultParagraphFont"/>
    <w:link w:val="BodyTextIndent2"/>
    <w:rsid w:val="008959FE"/>
    <w:rPr>
      <w:rFonts w:ascii="Times New Roman" w:eastAsia="Times New Roman" w:hAnsi="Times New Roman" w:cs="Times New Roman"/>
      <w:spacing w:val="-3"/>
      <w:sz w:val="24"/>
      <w:szCs w:val="20"/>
      <w:lang w:val="en-GB"/>
    </w:rPr>
  </w:style>
  <w:style w:type="paragraph" w:styleId="BalloonText">
    <w:name w:val="Balloon Text"/>
    <w:basedOn w:val="Normal"/>
    <w:link w:val="BalloonTextChar"/>
    <w:uiPriority w:val="99"/>
    <w:semiHidden/>
    <w:unhideWhenUsed/>
    <w:rsid w:val="0005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8E"/>
    <w:rPr>
      <w:rFonts w:ascii="Tahoma" w:hAnsi="Tahoma" w:cs="Tahoma"/>
      <w:sz w:val="16"/>
      <w:szCs w:val="16"/>
    </w:rPr>
  </w:style>
  <w:style w:type="character" w:styleId="Hyperlink">
    <w:name w:val="Hyperlink"/>
    <w:basedOn w:val="DefaultParagraphFont"/>
    <w:uiPriority w:val="99"/>
    <w:unhideWhenUsed/>
    <w:rsid w:val="00ED3A77"/>
    <w:rPr>
      <w:color w:val="0000FF" w:themeColor="hyperlink"/>
      <w:u w:val="single"/>
    </w:rPr>
  </w:style>
  <w:style w:type="character" w:styleId="FollowedHyperlink">
    <w:name w:val="FollowedHyperlink"/>
    <w:basedOn w:val="DefaultParagraphFont"/>
    <w:uiPriority w:val="99"/>
    <w:semiHidden/>
    <w:unhideWhenUsed/>
    <w:rsid w:val="00F41D2F"/>
    <w:rPr>
      <w:color w:val="800080" w:themeColor="followedHyperlink"/>
      <w:u w:val="single"/>
    </w:rPr>
  </w:style>
  <w:style w:type="paragraph" w:styleId="Header">
    <w:name w:val="header"/>
    <w:basedOn w:val="Normal"/>
    <w:link w:val="HeaderChar"/>
    <w:uiPriority w:val="99"/>
    <w:unhideWhenUsed/>
    <w:rsid w:val="000E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2F"/>
  </w:style>
  <w:style w:type="paragraph" w:styleId="Footer">
    <w:name w:val="footer"/>
    <w:basedOn w:val="Normal"/>
    <w:link w:val="FooterChar"/>
    <w:uiPriority w:val="99"/>
    <w:unhideWhenUsed/>
    <w:rsid w:val="000E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Sarna</dc:creator>
  <cp:lastModifiedBy>Lynn Klassen Semeniuk</cp:lastModifiedBy>
  <cp:revision>10</cp:revision>
  <cp:lastPrinted>2015-10-06T18:46:00Z</cp:lastPrinted>
  <dcterms:created xsi:type="dcterms:W3CDTF">2018-06-14T15:49:00Z</dcterms:created>
  <dcterms:modified xsi:type="dcterms:W3CDTF">2019-09-09T14:52:00Z</dcterms:modified>
</cp:coreProperties>
</file>